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sz w:val="2"/>
          <w:lang w:val="es-ES" w:eastAsia="en-US"/>
        </w:rPr>
        <w:id w:val="-1466434565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9178EE" w:rsidRDefault="001014DD">
          <w:pPr>
            <w:pStyle w:val="Sinespaciado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483D695" wp14:editId="00CC0440">
                    <wp:simplePos x="0" y="0"/>
                    <wp:positionH relativeFrom="margin">
                      <wp:posOffset>-487680</wp:posOffset>
                    </wp:positionH>
                    <wp:positionV relativeFrom="margin">
                      <wp:posOffset>-200025</wp:posOffset>
                    </wp:positionV>
                    <wp:extent cx="5943600" cy="914400"/>
                    <wp:effectExtent l="0" t="0" r="0" b="1270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5F62" w:rsidRPr="00EB49CB" w:rsidRDefault="007D5F62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E48312" w:themeColor="accent1"/>
                                    <w:sz w:val="68"/>
                                    <w:szCs w:val="68"/>
                                  </w:rPr>
                                </w:pPr>
                                <w:r w:rsidRPr="00EB49CB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E48312" w:themeColor="accent1"/>
                                    <w:sz w:val="64"/>
                                    <w:szCs w:val="64"/>
                                  </w:rPr>
                                  <w:t>Informe mICROBIOLÓGICO: análisis del antibiograma acumulado del hospital infantil del estado de sonora (enero-Abril 2025)</w:t>
                                </w:r>
                              </w:p>
                              <w:p w:rsidR="007D5F62" w:rsidRPr="00EB49CB" w:rsidRDefault="007D5F62">
                                <w:pPr>
                                  <w:pStyle w:val="Sinespaciado"/>
                                  <w:spacing w:before="120"/>
                                  <w:rPr>
                                    <w:color w:val="DF9778" w:themeColor="accent2" w:themeTint="99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DF9778" w:themeColor="accent2" w:themeTint="99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92692770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EB49CB">
                                      <w:rPr>
                                        <w:color w:val="DF9778" w:themeColor="accent2" w:themeTint="99"/>
                                        <w:sz w:val="36"/>
                                        <w:szCs w:val="36"/>
                                      </w:rPr>
                                      <w:t>Interpretación Sensibilidad/Resistencia (grupo ESKAPE)</w:t>
                                    </w:r>
                                  </w:sdtContent>
                                </w:sdt>
                                <w:r w:rsidRPr="00EB49CB">
                                  <w:rPr>
                                    <w:color w:val="DF9778" w:themeColor="accent2" w:themeTint="99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7D5F62" w:rsidRDefault="007D5F6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7483D69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6" type="#_x0000_t202" style="position:absolute;margin-left:-38.4pt;margin-top:-15.75pt;width:468pt;height:1in;z-index:251668480;visibility:visible;mso-wrap-style:square;mso-width-percent:765;mso-wrap-distance-left:9pt;mso-wrap-distance-top:0;mso-wrap-distance-right:9pt;mso-wrap-distance-bottom:0;mso-position-horizontal:absolute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" filled="f" stroked="f" strokeweight=".5pt">
                    <v:textbox style="mso-fit-shape-to-text:t">
                      <w:txbxContent>
                        <w:p w:rsidR="007D5F62" w:rsidRPr="00EB49CB" w:rsidRDefault="007D5F62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aps/>
                              <w:color w:val="E48312" w:themeColor="accent1"/>
                              <w:sz w:val="68"/>
                              <w:szCs w:val="68"/>
                            </w:rPr>
                          </w:pPr>
                          <w:r w:rsidRPr="00EB49CB">
                            <w:rPr>
                              <w:rFonts w:asciiTheme="majorHAnsi" w:eastAsiaTheme="majorEastAsia" w:hAnsiTheme="majorHAnsi" w:cstheme="majorBidi"/>
                              <w:caps/>
                              <w:color w:val="E48312" w:themeColor="accent1"/>
                              <w:sz w:val="64"/>
                              <w:szCs w:val="64"/>
                            </w:rPr>
                            <w:t>Informe mICROBIOLÓGICO: análisis del antibiograma acumulado del hospital infantil del estado de sonora (enero-Abril 2025)</w:t>
                          </w:r>
                        </w:p>
                        <w:p w:rsidR="007D5F62" w:rsidRPr="00EB49CB" w:rsidRDefault="007D5F62">
                          <w:pPr>
                            <w:pStyle w:val="Sinespaciado"/>
                            <w:spacing w:before="120"/>
                            <w:rPr>
                              <w:color w:val="DF9778" w:themeColor="accent2" w:themeTint="99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DF9778" w:themeColor="accent2" w:themeTint="99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9269277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EB49CB">
                                <w:rPr>
                                  <w:color w:val="DF9778" w:themeColor="accent2" w:themeTint="99"/>
                                  <w:sz w:val="36"/>
                                  <w:szCs w:val="36"/>
                                </w:rPr>
                                <w:t>Interpretación Sensibilidad/Resistencia (grupo ESKAPE)</w:t>
                              </w:r>
                            </w:sdtContent>
                          </w:sdt>
                          <w:r w:rsidRPr="00EB49CB">
                            <w:rPr>
                              <w:color w:val="DF9778" w:themeColor="accent2" w:themeTint="99"/>
                              <w:lang w:val="es-ES"/>
                            </w:rPr>
                            <w:t xml:space="preserve"> </w:t>
                          </w:r>
                        </w:p>
                        <w:p w:rsidR="007D5F62" w:rsidRDefault="007D5F62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AE3BA8">
            <w:rPr>
              <w:noProof/>
              <w:sz w:val="24"/>
            </w:rPr>
            <w:drawing>
              <wp:anchor distT="0" distB="0" distL="114300" distR="114300" simplePos="0" relativeHeight="251670528" behindDoc="0" locked="0" layoutInCell="1" allowOverlap="1" wp14:anchorId="2DCBB0F1" wp14:editId="7A4FCF09">
                <wp:simplePos x="0" y="0"/>
                <wp:positionH relativeFrom="page">
                  <wp:align>right</wp:align>
                </wp:positionH>
                <wp:positionV relativeFrom="paragraph">
                  <wp:posOffset>-705485</wp:posOffset>
                </wp:positionV>
                <wp:extent cx="3127828" cy="1722120"/>
                <wp:effectExtent l="0" t="0" r="0" b="0"/>
                <wp:wrapNone/>
                <wp:docPr id="8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7828" cy="1722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78EE" w:rsidRDefault="009178EE">
          <w:r w:rsidRPr="00EB49CB">
            <w:rPr>
              <w:noProof/>
              <w:color w:val="BD582C" w:themeColor="accent2"/>
              <w:sz w:val="36"/>
              <w:szCs w:val="36"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7456" behindDoc="1" locked="0" layoutInCell="1" allowOverlap="1" wp14:anchorId="62C68E88" wp14:editId="7656DC2F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2352040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5494369" cy="5696712"/>
                    <wp:effectExtent l="0" t="19050" r="33020" b="4508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06CFFFC8" id="Grupo 2" o:spid="_x0000_s1026" style="position:absolute;margin-left:0;margin-top:0;width:432.65pt;height:448.55pt;z-index:-251649024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">
                    <o:lock v:ext="edit" aspectratio="t"/>
                    <v:shape id="Forma libre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l/MQA&#10;AADbAAAADwAAAGRycy9kb3ducmV2LnhtbESPQWsCMRSE7wX/Q3iF3mrWUqxujSJC1Vupa9Hjc/Pc&#10;LG5eliTq+u9NQehxmJlvmMmss424kA+1YwWDfgaCuHS65krBtvh6HYEIEVlj45gU3CjAbNp7mmCu&#10;3ZV/6LKJlUgQDjkqMDG2uZShNGQx9F1LnLyj8xZjkr6S2uM1wW0j37JsKC3WnBYMtrQwVJ42Z6vg&#10;NPo2i+JjvCzC9ne3Ohz3g6VfK/Xy3M0/QUTq4n/40V5rBcN3+PuSfo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pfzEAAAA2wAAAA8AAAAAAAAAAAAAAAAAmAIAAGRycy9k&#10;b3ducmV2LnhtbFBLBQYAAAAABAAEAPUAAACJAwAAAAA=&#10;" path="m4,1786l,1782,1776,r5,5l4,1786xe" fillcolor="white [3201]" strokecolor="#e48312 [3204]" strokeweight="1pt">
                      <v:stroke joinstyle="miter"/>
                      <v:path arrowok="t" o:connecttype="custom" o:connectlocs="6350,2835275;0,2828925;2819400,0;2827338,7938;6350,2835275" o:connectangles="0,0,0,0,0"/>
                    </v:shape>
                    <v:shape id="Forma libre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fcccA&#10;AADbAAAADwAAAGRycy9kb3ducmV2LnhtbESPQWvCQBSE74L/YXmCN92oVdrUVUSiVMRD0x7a20v2&#10;NQlm34bsqml/fbcg9DjMzDfMct2ZWlypdZVlBZNxBII4t7riQsH72270CMJ5ZI21ZVLwTQ7Wq35v&#10;ibG2N36la+oLESDsYlRQet/EUrq8JINubBvi4H3Z1qAPsi2kbvEW4KaW0yhaSIMVh4USG9qWlJ/T&#10;i1FwOjzsk4TS88c++8kS+7l7mh0nSg0H3eYZhKfO/4fv7RetYDGHvy/hB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bH3HHAAAA2wAAAA8AAAAAAAAAAAAAAAAAmAIAAGRy&#10;cy9kb3ducmV2LnhtbFBLBQYAAAAABAAEAPUAAACMAwAAAAA=&#10;" path="m5,2234l,2229,2229,r5,5l5,2234xe" fillcolor="white [3201]" strokecolor="#e48312 [3204]" strokeweight="1pt">
                      <v:stroke joinstyle="miter"/>
                      <v:path arrowok="t" o:connecttype="custom" o:connectlocs="7938,3546475;0,3538538;3538538,0;3546475,7938;7938,3546475" o:connectangles="0,0,0,0,0"/>
                    </v:shape>
                    <v:shape id="Forma libre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0Oh8YA&#10;AADbAAAADwAAAGRycy9kb3ducmV2LnhtbESPT0sDMRTE74LfITzBS2mzFrqUbdOiQqmexP6BHh+b&#10;183q5mWbxN21n94IgsdhZn7DLNeDbURHPtSOFTxMMhDEpdM1VwoO+814DiJEZI2NY1LwTQHWq9ub&#10;JRba9fxO3S5WIkE4FKjAxNgWUobSkMUwcS1x8s7OW4xJ+kpqj32C20ZOsyyXFmtOCwZbejZUfu6+&#10;rILt9XAaef/W7V/748dgRrPL03Wm1P3d8LgAEWmI/+G/9otWkOfw+yX9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0Oh8YAAADbAAAADwAAAAAAAAAAAAAAAACYAgAAZHJz&#10;L2Rvd25yZXYueG1sUEsFBgAAAAAEAAQA9QAAAIsDAAAAAA==&#10;" path="m9,2197l,2193,2188,r9,10l9,2197xe" fillcolor="white [3201]" strokecolor="#e48312 [3204]" strokeweight="1pt">
                      <v:stroke joinstyle="miter"/>
                      <v:path arrowok="t" o:connecttype="custom" o:connectlocs="14288,3487738;0,3481388;3473450,0;3487738,15875;14288,3487738" o:connectangles="0,0,0,0,0"/>
                    </v:shape>
                    <v:shape id="Forma libre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AGcMA&#10;AADbAAAADwAAAGRycy9kb3ducmV2LnhtbESP3YrCMBSE7xd8h3AE79Z0C/5QjaKCskhv/HmAQ3O2&#10;KW1OShO1u0+/EQQvh5n5hlmue9uIO3W+cqzga5yAIC6crrhUcL3sP+cgfEDW2DgmBb/kYb0afCwx&#10;0+7BJ7qfQykihH2GCkwIbSalLwxZ9GPXEkfvx3UWQ5RdKXWHjwi3jUyTZCotVhwXDLa0M1TU55tV&#10;cLJ1uj/M6Lg1+aT4q1Ofb3Su1GjYbxYgAvXhHX61v7WC6Qy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rAGcMAAADbAAAADwAAAAAAAAAAAAAAAACYAgAAZHJzL2Rv&#10;d25yZXYueG1sUEsFBgAAAAAEAAQA9QAAAIgDAAAAAA==&#10;" path="m9,1966l,1957,1952,r9,9l9,1966xe" fillcolor="white [3201]" strokecolor="#e48312 [3204]" strokeweight="1pt">
                      <v:stroke joinstyle="miter"/>
                      <v:path arrowok="t" o:connecttype="custom" o:connectlocs="14288,3121025;0,3106738;3098800,0;3113088,14288;14288,3121025" o:connectangles="0,0,0,0,0"/>
                    </v:shape>
                    <v:shape id="Forma libre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QrMEA&#10;AADbAAAADwAAAGRycy9kb3ducmV2LnhtbERPXWvCMBR9H/gfwhV8m+mKK6UzyhCEQRG2TvD10lyb&#10;YnNTmsy2/948CHs8nO/tfrKduNPgW8cK3tYJCOLa6ZYbBeff42sOwgdkjZ1jUjCTh/1u8bLFQruR&#10;f+hehUbEEPYFKjAh9IWUvjZk0a9dTxy5qxsshgiHRuoBxxhuO5kmSSYtthwbDPZ0MFTfqj+r4Jp+&#10;20tuNvl8btL302a8lLeSlVotp88PEIGm8C9+ur+0giyOjV/iD5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8EKzBAAAA2wAAAA8AAAAAAAAAAAAAAAAAmAIAAGRycy9kb3du&#10;cmV2LnhtbFBLBQYAAAAABAAEAPUAAACGAwAAAAA=&#10;" path="m,2732r,-4l2722,r5,5l,2732xe" fillcolor="white [3201]" strokecolor="#e48312 [3204]" strokeweight="1pt">
                      <v:stroke joinstyle="miter"/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:rsidR="00CB0668" w:rsidRDefault="001014DD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D49DCAC" wp14:editId="15A3BE61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5587365</wp:posOffset>
                    </wp:positionV>
                    <wp:extent cx="8179435" cy="564515"/>
                    <wp:effectExtent l="0" t="0" r="12065" b="6985"/>
                    <wp:wrapNone/>
                    <wp:docPr id="9" name="Cuadro de tex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79435" cy="564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5F62" w:rsidRDefault="007D5F62" w:rsidP="001014DD">
                                <w:pPr>
                                  <w:pStyle w:val="Sinespaciado"/>
                                  <w:jc w:val="right"/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  <w:t>Q.B.C Elia Hernández Zapata</w:t>
                                </w:r>
                              </w:p>
                              <w:p w:rsidR="007D5F62" w:rsidRDefault="007D5F62" w:rsidP="001014DD">
                                <w:pPr>
                                  <w:pStyle w:val="Sinespaciado"/>
                                  <w:jc w:val="right"/>
                                  <w:rPr>
                                    <w:color w:val="E48312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E48312" w:themeColor="accent1"/>
                                      <w:sz w:val="32"/>
                                      <w:szCs w:val="36"/>
                                    </w:rPr>
                                    <w:alias w:val="Curso"/>
                                    <w:tag w:val="Curso"/>
                                    <w:id w:val="-1079519797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E48312" w:themeColor="accent1"/>
                                        <w:sz w:val="32"/>
                                        <w:szCs w:val="36"/>
                                      </w:rPr>
                                      <w:t>Miembro de la Vigilancia de Resistencias del SCA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49DCAC" id="Cuadro de texto 9" o:spid="_x0000_s1027" type="#_x0000_t202" style="position:absolute;margin-left:592.85pt;margin-top:439.95pt;width:644.05pt;height:44.45pt;z-index:251672576;visibility:visible;mso-wrap-style:square;mso-width-percent:765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" filled="f" stroked="f" strokeweight=".5pt">
                    <v:textbox style="mso-fit-shape-to-text:t" inset="0,0,0,0">
                      <w:txbxContent>
                        <w:p w:rsidR="007D5F62" w:rsidRDefault="007D5F62" w:rsidP="001014DD">
                          <w:pPr>
                            <w:pStyle w:val="Sinespaciado"/>
                            <w:jc w:val="right"/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  <w:t>Q.B.C Elia Hernández Zapata</w:t>
                          </w:r>
                        </w:p>
                        <w:p w:rsidR="007D5F62" w:rsidRDefault="007D5F62" w:rsidP="001014DD">
                          <w:pPr>
                            <w:pStyle w:val="Sinespaciado"/>
                            <w:jc w:val="right"/>
                            <w:rPr>
                              <w:color w:val="E48312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E48312" w:themeColor="accent1"/>
                                <w:sz w:val="32"/>
                                <w:szCs w:val="36"/>
                              </w:rPr>
                              <w:alias w:val="Curso"/>
                              <w:tag w:val="Curso"/>
                              <w:id w:val="-107951979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E48312" w:themeColor="accent1"/>
                                  <w:sz w:val="32"/>
                                  <w:szCs w:val="36"/>
                                </w:rPr>
                                <w:t>Miembro de la Vigilancia de Resistencias del SCA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9178EE">
            <w:br w:type="page"/>
          </w:r>
        </w:p>
        <w:p w:rsidR="00CB0668" w:rsidRPr="00CB0668" w:rsidRDefault="00CB0668" w:rsidP="00013BD8">
          <w:pPr>
            <w:pStyle w:val="TtulodeTDC"/>
          </w:pPr>
          <w:r w:rsidRPr="00CB0668">
            <w:lastRenderedPageBreak/>
            <w:t>Índice</w:t>
          </w:r>
        </w:p>
        <w:tbl>
          <w:tblPr>
            <w:tblStyle w:val="Tablaconcuadrcula1"/>
            <w:tblW w:w="0" w:type="auto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6836"/>
            <w:gridCol w:w="883"/>
          </w:tblGrid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013BD8" w:rsidRPr="00747680" w:rsidRDefault="00CB0668" w:rsidP="00747680">
                <w:pPr>
                  <w:tabs>
                    <w:tab w:val="left" w:pos="2742"/>
                  </w:tabs>
                  <w:rPr>
                    <w:sz w:val="24"/>
                  </w:rPr>
                </w:pPr>
                <w:r w:rsidRPr="00747680">
                  <w:rPr>
                    <w:sz w:val="24"/>
                  </w:rPr>
                  <w:tab/>
                  <w:t>Contenido temático</w:t>
                </w: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CB0668" w:rsidP="00747680">
                <w:pPr>
                  <w:jc w:val="center"/>
                  <w:rPr>
                    <w:sz w:val="24"/>
                  </w:rPr>
                </w:pPr>
                <w:r w:rsidRPr="00747680">
                  <w:rPr>
                    <w:sz w:val="24"/>
                  </w:rPr>
                  <w:t>Página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CB0668" w:rsidP="00747680">
                <w:pPr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>Po</w:t>
                </w:r>
                <w:r w:rsidR="00013BD8" w:rsidRPr="00747680">
                  <w:rPr>
                    <w:sz w:val="24"/>
                  </w:rPr>
                  <w:t>rcentaje de susceptibilidad</w:t>
                </w:r>
                <w:r w:rsidRPr="00747680">
                  <w:rPr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Staphylococcus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aureus</w:t>
                </w:r>
                <w:proofErr w:type="spellEnd"/>
              </w:p>
              <w:p w:rsidR="00CB0668" w:rsidRPr="00747680" w:rsidRDefault="00013BD8" w:rsidP="00747680">
                <w:pPr>
                  <w:pStyle w:val="Prrafodelista"/>
                  <w:numPr>
                    <w:ilvl w:val="0"/>
                    <w:numId w:val="4"/>
                  </w:numPr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 xml:space="preserve">Resistencia a </w:t>
                </w:r>
                <w:proofErr w:type="spellStart"/>
                <w:r w:rsidRPr="00747680">
                  <w:rPr>
                    <w:sz w:val="24"/>
                  </w:rPr>
                  <w:t>Meticilina</w:t>
                </w:r>
                <w:proofErr w:type="spellEnd"/>
              </w:p>
              <w:p w:rsidR="00747680" w:rsidRPr="00747680" w:rsidRDefault="00747680" w:rsidP="00747680">
                <w:pPr>
                  <w:pStyle w:val="Prrafodelista"/>
                  <w:rPr>
                    <w:i/>
                    <w:sz w:val="24"/>
                  </w:rPr>
                </w:pP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2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CB0668" w:rsidP="00747680">
                <w:pPr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>Po</w:t>
                </w:r>
                <w:r w:rsidR="00013BD8" w:rsidRPr="00747680">
                  <w:rPr>
                    <w:sz w:val="24"/>
                  </w:rPr>
                  <w:t>rcentaje de susceptibilidad</w:t>
                </w:r>
                <w:r w:rsidRPr="00747680">
                  <w:rPr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Enterococcus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spp</w:t>
                </w:r>
                <w:proofErr w:type="spellEnd"/>
                <w:r w:rsidRPr="00747680">
                  <w:rPr>
                    <w:i/>
                    <w:sz w:val="24"/>
                  </w:rPr>
                  <w:t>.</w:t>
                </w:r>
              </w:p>
              <w:p w:rsidR="00013BD8" w:rsidRDefault="00013BD8" w:rsidP="00747680">
                <w:pPr>
                  <w:pStyle w:val="Prrafodelista"/>
                  <w:numPr>
                    <w:ilvl w:val="0"/>
                    <w:numId w:val="4"/>
                  </w:numPr>
                  <w:rPr>
                    <w:sz w:val="24"/>
                  </w:rPr>
                </w:pPr>
                <w:r w:rsidRPr="00747680">
                  <w:rPr>
                    <w:sz w:val="24"/>
                  </w:rPr>
                  <w:t xml:space="preserve">Resistencia a </w:t>
                </w:r>
                <w:proofErr w:type="spellStart"/>
                <w:r w:rsidRPr="00747680">
                  <w:rPr>
                    <w:sz w:val="24"/>
                  </w:rPr>
                  <w:t>Vancomicina</w:t>
                </w:r>
                <w:proofErr w:type="spellEnd"/>
              </w:p>
              <w:p w:rsidR="00747680" w:rsidRPr="00747680" w:rsidRDefault="00747680" w:rsidP="00747680">
                <w:pPr>
                  <w:pStyle w:val="Prrafodelista"/>
                  <w:rPr>
                    <w:sz w:val="24"/>
                  </w:rPr>
                </w:pP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013BD8" w:rsidP="00747680">
                <w:pPr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 xml:space="preserve">Porcentaje de susceptibilidad </w:t>
                </w:r>
                <w:proofErr w:type="spellStart"/>
                <w:r w:rsidRPr="00747680">
                  <w:rPr>
                    <w:i/>
                    <w:sz w:val="24"/>
                  </w:rPr>
                  <w:t>Pseudomonas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aeruginosa</w:t>
                </w:r>
                <w:proofErr w:type="spellEnd"/>
              </w:p>
              <w:p w:rsidR="00013BD8" w:rsidRDefault="00013BD8" w:rsidP="00747680">
                <w:pPr>
                  <w:pStyle w:val="Prrafodelista"/>
                  <w:numPr>
                    <w:ilvl w:val="0"/>
                    <w:numId w:val="4"/>
                  </w:numPr>
                  <w:rPr>
                    <w:sz w:val="24"/>
                  </w:rPr>
                </w:pPr>
                <w:r w:rsidRPr="00747680">
                  <w:rPr>
                    <w:sz w:val="24"/>
                  </w:rPr>
                  <w:t xml:space="preserve">Resistencia a </w:t>
                </w:r>
                <w:proofErr w:type="spellStart"/>
                <w:r w:rsidRPr="00747680">
                  <w:rPr>
                    <w:sz w:val="24"/>
                  </w:rPr>
                  <w:t>Carbapenémicos</w:t>
                </w:r>
                <w:proofErr w:type="spellEnd"/>
              </w:p>
              <w:p w:rsidR="00747680" w:rsidRPr="00747680" w:rsidRDefault="00747680" w:rsidP="00747680">
                <w:pPr>
                  <w:pStyle w:val="Prrafodelista"/>
                  <w:rPr>
                    <w:sz w:val="24"/>
                  </w:rPr>
                </w:pP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4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013BD8" w:rsidP="00747680">
                <w:pPr>
                  <w:ind w:firstLine="29"/>
                  <w:jc w:val="both"/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 xml:space="preserve">Porcentaje de susceptibilidad </w:t>
                </w:r>
                <w:proofErr w:type="spellStart"/>
                <w:r w:rsidRPr="00747680">
                  <w:rPr>
                    <w:i/>
                    <w:sz w:val="24"/>
                  </w:rPr>
                  <w:t>Klebsiella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pneumoniae</w:t>
                </w:r>
                <w:proofErr w:type="spellEnd"/>
              </w:p>
              <w:p w:rsidR="00013BD8" w:rsidRPr="00747680" w:rsidRDefault="00013BD8" w:rsidP="00747680">
                <w:pPr>
                  <w:pStyle w:val="Prrafodelista"/>
                  <w:numPr>
                    <w:ilvl w:val="0"/>
                    <w:numId w:val="4"/>
                  </w:numPr>
                  <w:jc w:val="both"/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 xml:space="preserve">Resistencia a </w:t>
                </w:r>
                <w:proofErr w:type="spellStart"/>
                <w:r w:rsidRPr="00747680">
                  <w:rPr>
                    <w:sz w:val="24"/>
                  </w:rPr>
                  <w:t>Carbapenémicos</w:t>
                </w:r>
                <w:proofErr w:type="spellEnd"/>
              </w:p>
              <w:p w:rsidR="00747680" w:rsidRPr="00747680" w:rsidRDefault="00747680" w:rsidP="00747680">
                <w:pPr>
                  <w:pStyle w:val="Prrafodelista"/>
                  <w:jc w:val="both"/>
                  <w:rPr>
                    <w:i/>
                    <w:sz w:val="24"/>
                  </w:rPr>
                </w:pP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5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013BD8" w:rsidP="00747680">
                <w:pPr>
                  <w:ind w:firstLine="29"/>
                  <w:jc w:val="both"/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 xml:space="preserve">Porcentaje de susceptibilidad </w:t>
                </w:r>
                <w:proofErr w:type="spellStart"/>
                <w:r w:rsidRPr="00747680">
                  <w:rPr>
                    <w:i/>
                    <w:sz w:val="24"/>
                  </w:rPr>
                  <w:t>Escherichia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coli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spp</w:t>
                </w:r>
                <w:proofErr w:type="spellEnd"/>
                <w:r w:rsidRPr="00747680">
                  <w:rPr>
                    <w:i/>
                    <w:sz w:val="24"/>
                  </w:rPr>
                  <w:t>.</w:t>
                </w:r>
              </w:p>
              <w:p w:rsidR="00013BD8" w:rsidRPr="00747680" w:rsidRDefault="00013BD8" w:rsidP="00747680">
                <w:pPr>
                  <w:pStyle w:val="Prrafodelista"/>
                  <w:numPr>
                    <w:ilvl w:val="0"/>
                    <w:numId w:val="4"/>
                  </w:numPr>
                  <w:jc w:val="both"/>
                  <w:rPr>
                    <w:i/>
                    <w:sz w:val="24"/>
                  </w:rPr>
                </w:pPr>
                <w:r w:rsidRPr="00747680">
                  <w:rPr>
                    <w:i/>
                    <w:sz w:val="24"/>
                  </w:rPr>
                  <w:t xml:space="preserve">E. </w:t>
                </w:r>
                <w:proofErr w:type="spellStart"/>
                <w:r w:rsidRPr="00747680">
                  <w:rPr>
                    <w:i/>
                    <w:sz w:val="24"/>
                  </w:rPr>
                  <w:t>coli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r w:rsidRPr="00747680">
                  <w:rPr>
                    <w:sz w:val="24"/>
                  </w:rPr>
                  <w:t xml:space="preserve">portadoras de </w:t>
                </w:r>
                <w:proofErr w:type="spellStart"/>
                <w:r w:rsidRPr="00747680">
                  <w:rPr>
                    <w:sz w:val="24"/>
                  </w:rPr>
                  <w:t>Carbapenemasas</w:t>
                </w:r>
                <w:proofErr w:type="spellEnd"/>
                <w:r w:rsidRPr="00747680">
                  <w:rPr>
                    <w:sz w:val="24"/>
                  </w:rPr>
                  <w:t xml:space="preserve"> y BLEE</w:t>
                </w:r>
              </w:p>
              <w:p w:rsidR="00747680" w:rsidRPr="00747680" w:rsidRDefault="00747680" w:rsidP="00747680">
                <w:pPr>
                  <w:pStyle w:val="Prrafodelista"/>
                  <w:jc w:val="both"/>
                  <w:rPr>
                    <w:i/>
                    <w:sz w:val="24"/>
                  </w:rPr>
                </w:pP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013BD8" w:rsidP="00747680">
                <w:pPr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 xml:space="preserve">Porcentaje de susceptibilidad </w:t>
                </w:r>
                <w:proofErr w:type="spellStart"/>
                <w:r w:rsidRPr="00747680">
                  <w:rPr>
                    <w:i/>
                    <w:sz w:val="24"/>
                  </w:rPr>
                  <w:t>Acinetobacter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baumannii</w:t>
                </w:r>
                <w:proofErr w:type="spellEnd"/>
              </w:p>
              <w:p w:rsidR="00013BD8" w:rsidRPr="00747680" w:rsidRDefault="00013BD8" w:rsidP="00747680">
                <w:pPr>
                  <w:pStyle w:val="Prrafodelista"/>
                  <w:numPr>
                    <w:ilvl w:val="0"/>
                    <w:numId w:val="4"/>
                  </w:numPr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>Porcentajes de Resistencia</w:t>
                </w:r>
              </w:p>
              <w:p w:rsidR="00747680" w:rsidRPr="00747680" w:rsidRDefault="00747680" w:rsidP="00747680">
                <w:pPr>
                  <w:pStyle w:val="Prrafodelista"/>
                  <w:rPr>
                    <w:i/>
                    <w:sz w:val="24"/>
                  </w:rPr>
                </w:pP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013BD8" w:rsidP="00747680">
                <w:pPr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 xml:space="preserve">Porcentaje de susceptibilidad </w:t>
                </w:r>
                <w:proofErr w:type="spellStart"/>
                <w:r w:rsidRPr="00747680">
                  <w:rPr>
                    <w:i/>
                    <w:sz w:val="24"/>
                  </w:rPr>
                  <w:t>Stenotrophomonas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maltophilia</w:t>
                </w:r>
                <w:proofErr w:type="spellEnd"/>
              </w:p>
              <w:p w:rsidR="00013BD8" w:rsidRPr="00747680" w:rsidRDefault="005D6E39" w:rsidP="00747680">
                <w:pPr>
                  <w:pStyle w:val="Prrafodelista"/>
                  <w:numPr>
                    <w:ilvl w:val="0"/>
                    <w:numId w:val="4"/>
                  </w:numPr>
                  <w:rPr>
                    <w:i/>
                    <w:sz w:val="24"/>
                  </w:rPr>
                </w:pPr>
                <w:r>
                  <w:rPr>
                    <w:sz w:val="24"/>
                  </w:rPr>
                  <w:t>Porcentaje de Susceptibilidad</w:t>
                </w:r>
                <w:r w:rsidR="00013BD8" w:rsidRPr="00747680">
                  <w:rPr>
                    <w:sz w:val="24"/>
                  </w:rPr>
                  <w:t xml:space="preserve">  a TMP/SMX</w:t>
                </w:r>
              </w:p>
              <w:p w:rsidR="00747680" w:rsidRPr="00747680" w:rsidRDefault="00747680" w:rsidP="00747680">
                <w:pPr>
                  <w:pStyle w:val="Prrafodelista"/>
                  <w:rPr>
                    <w:i/>
                    <w:sz w:val="24"/>
                  </w:rPr>
                </w:pP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013BD8" w:rsidP="00747680">
                <w:pPr>
                  <w:rPr>
                    <w:sz w:val="24"/>
                  </w:rPr>
                </w:pPr>
                <w:r w:rsidRPr="00747680">
                  <w:rPr>
                    <w:sz w:val="24"/>
                  </w:rPr>
                  <w:t>Análisis de las Bacterias Restantes con Importancia en Pediatría</w:t>
                </w: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CB0668" w:rsidP="00747680">
                <w:pPr>
                  <w:jc w:val="center"/>
                  <w:rPr>
                    <w:sz w:val="24"/>
                  </w:rPr>
                </w:pP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013BD8" w:rsidP="00747680">
                <w:pPr>
                  <w:pStyle w:val="Prrafodelista"/>
                  <w:numPr>
                    <w:ilvl w:val="0"/>
                    <w:numId w:val="5"/>
                  </w:numPr>
                  <w:rPr>
                    <w:i/>
                    <w:sz w:val="24"/>
                  </w:rPr>
                </w:pPr>
                <w:r w:rsidRPr="00747680">
                  <w:rPr>
                    <w:i/>
                    <w:sz w:val="24"/>
                  </w:rPr>
                  <w:t>Shigella spp.</w:t>
                </w: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9</w:t>
                </w:r>
              </w:p>
            </w:tc>
            <w:bookmarkStart w:id="0" w:name="_GoBack"/>
            <w:bookmarkEnd w:id="0"/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3F245A" w:rsidP="00747680">
                <w:pPr>
                  <w:pStyle w:val="Prrafodelista"/>
                  <w:numPr>
                    <w:ilvl w:val="0"/>
                    <w:numId w:val="5"/>
                  </w:numPr>
                  <w:rPr>
                    <w:i/>
                    <w:sz w:val="24"/>
                  </w:rPr>
                </w:pPr>
                <w:r w:rsidRPr="00747680">
                  <w:rPr>
                    <w:sz w:val="24"/>
                  </w:rPr>
                  <w:t xml:space="preserve">Grupo </w:t>
                </w:r>
                <w:proofErr w:type="spellStart"/>
                <w:r w:rsidRPr="00747680">
                  <w:rPr>
                    <w:i/>
                    <w:sz w:val="24"/>
                  </w:rPr>
                  <w:t>Enterobacteriaceae</w:t>
                </w:r>
                <w:proofErr w:type="spellEnd"/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10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3F245A" w:rsidP="00747680">
                <w:pPr>
                  <w:pStyle w:val="Prrafodelista"/>
                  <w:numPr>
                    <w:ilvl w:val="0"/>
                    <w:numId w:val="5"/>
                  </w:numPr>
                  <w:rPr>
                    <w:sz w:val="24"/>
                  </w:rPr>
                </w:pPr>
                <w:proofErr w:type="spellStart"/>
                <w:r w:rsidRPr="00747680">
                  <w:rPr>
                    <w:i/>
                    <w:sz w:val="24"/>
                  </w:rPr>
                  <w:t>Candida</w:t>
                </w:r>
                <w:proofErr w:type="spellEnd"/>
                <w:r w:rsidRPr="00747680">
                  <w:rPr>
                    <w:i/>
                    <w:sz w:val="24"/>
                  </w:rPr>
                  <w:t xml:space="preserve"> </w:t>
                </w:r>
                <w:proofErr w:type="spellStart"/>
                <w:r w:rsidRPr="00747680">
                  <w:rPr>
                    <w:i/>
                    <w:sz w:val="24"/>
                  </w:rPr>
                  <w:t>spp</w:t>
                </w:r>
                <w:proofErr w:type="spellEnd"/>
                <w:r w:rsidRPr="00747680">
                  <w:rPr>
                    <w:i/>
                    <w:sz w:val="24"/>
                  </w:rPr>
                  <w:t>.</w:t>
                </w: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03231E" w:rsidP="00747680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c>
          </w:tr>
          <w:tr w:rsidR="00CB0668" w:rsidRPr="00747680" w:rsidTr="003F245A">
            <w:tc>
              <w:tcPr>
                <w:tcW w:w="6836" w:type="dxa"/>
                <w:shd w:val="clear" w:color="auto" w:fill="auto"/>
              </w:tcPr>
              <w:p w:rsidR="00CB0668" w:rsidRPr="00747680" w:rsidRDefault="00CB0668" w:rsidP="00747680">
                <w:pPr>
                  <w:rPr>
                    <w:i/>
                    <w:sz w:val="24"/>
                  </w:rPr>
                </w:pPr>
              </w:p>
            </w:tc>
            <w:tc>
              <w:tcPr>
                <w:tcW w:w="883" w:type="dxa"/>
                <w:shd w:val="clear" w:color="auto" w:fill="auto"/>
              </w:tcPr>
              <w:p w:rsidR="00CB0668" w:rsidRPr="00747680" w:rsidRDefault="00CB0668" w:rsidP="00747680">
                <w:pPr>
                  <w:jc w:val="center"/>
                  <w:rPr>
                    <w:sz w:val="24"/>
                  </w:rPr>
                </w:pPr>
              </w:p>
            </w:tc>
          </w:tr>
        </w:tbl>
        <w:p w:rsidR="009178EE" w:rsidRDefault="007D5F62"/>
      </w:sdtContent>
    </w:sdt>
    <w:tbl>
      <w:tblPr>
        <w:tblStyle w:val="Tablaconcuadrcul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"/>
        <w:gridCol w:w="709"/>
        <w:gridCol w:w="992"/>
        <w:gridCol w:w="709"/>
        <w:gridCol w:w="709"/>
        <w:gridCol w:w="850"/>
        <w:gridCol w:w="709"/>
        <w:gridCol w:w="709"/>
        <w:gridCol w:w="567"/>
        <w:gridCol w:w="850"/>
        <w:gridCol w:w="709"/>
        <w:gridCol w:w="992"/>
      </w:tblGrid>
      <w:tr w:rsidR="00FE64E3" w:rsidTr="00315D41">
        <w:trPr>
          <w:trHeight w:val="322"/>
        </w:trPr>
        <w:tc>
          <w:tcPr>
            <w:tcW w:w="12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</w:tcPr>
          <w:p w:rsidR="00FE64E3" w:rsidRPr="00CE6812" w:rsidRDefault="00FA0A12" w:rsidP="00CE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Porcentaje de </w:t>
            </w:r>
            <w:r w:rsidR="00FE1F8F">
              <w:rPr>
                <w:sz w:val="28"/>
                <w:szCs w:val="28"/>
              </w:rPr>
              <w:t>S</w:t>
            </w:r>
            <w:r w:rsidR="00FE1F8F" w:rsidRPr="00CE6812">
              <w:rPr>
                <w:sz w:val="28"/>
                <w:szCs w:val="28"/>
              </w:rPr>
              <w:t>usceptibilidad</w:t>
            </w:r>
            <w:r w:rsidR="00FE64E3" w:rsidRPr="00CE6812">
              <w:rPr>
                <w:sz w:val="28"/>
                <w:szCs w:val="28"/>
              </w:rPr>
              <w:t xml:space="preserve"> para </w:t>
            </w:r>
            <w:proofErr w:type="spellStart"/>
            <w:r w:rsidR="00FE64E3" w:rsidRPr="00CE6812">
              <w:rPr>
                <w:i/>
                <w:sz w:val="28"/>
                <w:szCs w:val="28"/>
              </w:rPr>
              <w:t>Staphylococcus</w:t>
            </w:r>
            <w:proofErr w:type="spellEnd"/>
            <w:r w:rsidR="00FE64E3" w:rsidRPr="00CE68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E64E3" w:rsidRPr="00CE6812">
              <w:rPr>
                <w:i/>
                <w:sz w:val="28"/>
                <w:szCs w:val="28"/>
              </w:rPr>
              <w:t>aureus</w:t>
            </w:r>
            <w:proofErr w:type="spellEnd"/>
          </w:p>
        </w:tc>
      </w:tr>
      <w:tr w:rsidR="00315D41" w:rsidTr="00315D41">
        <w:trPr>
          <w:cantSplit/>
          <w:trHeight w:val="17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315D41" w:rsidRDefault="00315D41"/>
          <w:p w:rsidR="00315D41" w:rsidRDefault="00315D41"/>
          <w:p w:rsidR="00315D41" w:rsidRDefault="00315D41"/>
          <w:p w:rsidR="00315D41" w:rsidRDefault="00315D41"/>
          <w:p w:rsidR="00315D41" w:rsidRDefault="00315D41"/>
          <w:p w:rsidR="00FE64E3" w:rsidRDefault="00315D41">
            <w:r>
              <w:t>M.O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315D41" w:rsidRDefault="00315D41" w:rsidP="00315D41">
            <w:pPr>
              <w:jc w:val="center"/>
            </w:pPr>
          </w:p>
          <w:p w:rsidR="00315D41" w:rsidRDefault="00315D41" w:rsidP="00315D41">
            <w:pPr>
              <w:jc w:val="center"/>
            </w:pPr>
          </w:p>
          <w:p w:rsidR="00315D41" w:rsidRDefault="00315D41" w:rsidP="00315D41">
            <w:pPr>
              <w:jc w:val="center"/>
            </w:pPr>
          </w:p>
          <w:p w:rsidR="00315D41" w:rsidRDefault="00315D41" w:rsidP="00315D41">
            <w:pPr>
              <w:jc w:val="center"/>
            </w:pPr>
          </w:p>
          <w:p w:rsidR="00FE64E3" w:rsidRDefault="00315D41" w:rsidP="00315D41">
            <w:pPr>
              <w:jc w:val="center"/>
            </w:pPr>
            <w:r>
              <w:t>N°</w:t>
            </w:r>
          </w:p>
          <w:p w:rsidR="00315D41" w:rsidRDefault="00315D41" w:rsidP="00315D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proofErr w:type="spellStart"/>
            <w:r>
              <w:t>Clindamicina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proofErr w:type="spellStart"/>
            <w:r>
              <w:t>Eritromicina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proofErr w:type="spellStart"/>
            <w:r>
              <w:t>Gentamicina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B41A40" w:rsidP="00B41A40">
            <w:pPr>
              <w:ind w:left="113" w:right="113"/>
            </w:pPr>
            <w:proofErr w:type="spellStart"/>
            <w:r>
              <w:t>O</w:t>
            </w:r>
            <w:r w:rsidR="00FE64E3">
              <w:t>x</w:t>
            </w:r>
            <w:r>
              <w:t>ac</w:t>
            </w:r>
            <w:r w:rsidR="00FE64E3">
              <w:t>ilina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proofErr w:type="spellStart"/>
            <w:r>
              <w:t>Cefoxitina</w:t>
            </w:r>
            <w:proofErr w:type="spellEnd"/>
            <w:r w:rsidR="00066EDF">
              <w:t xml:space="preserve"> 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proofErr w:type="spellStart"/>
            <w:r>
              <w:t>Bencilpenicilinas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proofErr w:type="spellStart"/>
            <w:r>
              <w:t>Rifampicina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r>
              <w:t>TMP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proofErr w:type="spellStart"/>
            <w:r>
              <w:t>Vancomicina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E64E3" w:rsidRDefault="00FE64E3" w:rsidP="00FE64E3">
            <w:pPr>
              <w:ind w:left="113" w:right="113"/>
            </w:pPr>
            <w:proofErr w:type="spellStart"/>
            <w:r>
              <w:t>Daptomicina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315D41" w:rsidRDefault="00315D41" w:rsidP="00FE64E3">
            <w:pPr>
              <w:ind w:left="113" w:right="113"/>
            </w:pPr>
          </w:p>
          <w:p w:rsidR="00FE64E3" w:rsidRDefault="00FE64E3" w:rsidP="00FE64E3">
            <w:pPr>
              <w:ind w:left="113" w:right="113"/>
            </w:pPr>
            <w:proofErr w:type="spellStart"/>
            <w:r>
              <w:t>Linezolid</w:t>
            </w:r>
            <w:proofErr w:type="spellEnd"/>
          </w:p>
        </w:tc>
      </w:tr>
      <w:tr w:rsidR="00315D41" w:rsidTr="00315D4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E64E3" w:rsidRDefault="00FE64E3">
            <w:r>
              <w:t>Todos S. aureus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47680" w:rsidRDefault="00747680" w:rsidP="00055B79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64E3" w:rsidRDefault="00747680" w:rsidP="00B41A40">
            <w:pPr>
              <w:jc w:val="center"/>
            </w:pPr>
            <w:r>
              <w:t>93</w:t>
            </w:r>
            <w:r w:rsidR="00FA0A12"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64E3" w:rsidRDefault="00FA0A12" w:rsidP="00B41A40">
            <w:pPr>
              <w:jc w:val="center"/>
            </w:pPr>
            <w:r>
              <w:t>86%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64E3" w:rsidRDefault="00FA0A12" w:rsidP="00B41A40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64E3" w:rsidRDefault="00FA0A12" w:rsidP="00B41A40">
            <w:pPr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64E3" w:rsidRDefault="00FA0A12" w:rsidP="00B41A40">
            <w:pPr>
              <w:jc w:val="center"/>
            </w:pPr>
            <w:r>
              <w:t>93%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64E3" w:rsidRDefault="00FA0A12" w:rsidP="00FA0A12">
            <w:r>
              <w:t>25%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64E3" w:rsidRDefault="00FA0A12" w:rsidP="00B41A40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64E3" w:rsidRPr="007D5F62" w:rsidRDefault="00FE64E3" w:rsidP="007D5F62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64E3" w:rsidRDefault="0022205E" w:rsidP="00B41A40"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64E3" w:rsidRDefault="0022205E" w:rsidP="00B41A40">
            <w:pPr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E64E3" w:rsidRDefault="0022205E" w:rsidP="00B41A40">
            <w:pPr>
              <w:jc w:val="center"/>
            </w:pPr>
            <w:r>
              <w:t>100%</w:t>
            </w:r>
          </w:p>
        </w:tc>
      </w:tr>
      <w:tr w:rsidR="00315D41" w:rsidTr="00315D41">
        <w:trPr>
          <w:trHeight w:val="255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7CD9D" w:themeFill="accent1" w:themeFillTint="66"/>
          </w:tcPr>
          <w:p w:rsidR="00FE64E3" w:rsidRDefault="00FE64E3">
            <w:r>
              <w:t>SAMR</w:t>
            </w:r>
          </w:p>
        </w:tc>
        <w:tc>
          <w:tcPr>
            <w:tcW w:w="708" w:type="dxa"/>
            <w:shd w:val="clear" w:color="auto" w:fill="F7CD9D" w:themeFill="accent1" w:themeFillTint="66"/>
          </w:tcPr>
          <w:p w:rsidR="00FE64E3" w:rsidRDefault="0022205E" w:rsidP="00055B79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7CD9D" w:themeFill="accent1" w:themeFillTint="66"/>
          </w:tcPr>
          <w:p w:rsidR="00FE64E3" w:rsidRDefault="0022205E" w:rsidP="00B41A40">
            <w:pPr>
              <w:jc w:val="center"/>
            </w:pPr>
            <w:r>
              <w:t>50%</w:t>
            </w:r>
          </w:p>
        </w:tc>
        <w:tc>
          <w:tcPr>
            <w:tcW w:w="992" w:type="dxa"/>
            <w:shd w:val="clear" w:color="auto" w:fill="F7CD9D" w:themeFill="accent1" w:themeFillTint="66"/>
          </w:tcPr>
          <w:p w:rsidR="00FE64E3" w:rsidRDefault="0022205E" w:rsidP="00B41A40">
            <w:pPr>
              <w:jc w:val="center"/>
            </w:pPr>
            <w:r>
              <w:t>100%</w:t>
            </w:r>
          </w:p>
        </w:tc>
        <w:tc>
          <w:tcPr>
            <w:tcW w:w="709" w:type="dxa"/>
            <w:shd w:val="clear" w:color="auto" w:fill="F7CD9D" w:themeFill="accent1" w:themeFillTint="66"/>
          </w:tcPr>
          <w:p w:rsidR="00FE64E3" w:rsidRDefault="0022205E" w:rsidP="00B41A40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7CD9D" w:themeFill="accent1" w:themeFillTint="66"/>
          </w:tcPr>
          <w:p w:rsidR="00FE64E3" w:rsidRDefault="0022205E" w:rsidP="00B41A40">
            <w:pPr>
              <w:jc w:val="center"/>
            </w:pPr>
            <w:r>
              <w:t>100%</w:t>
            </w:r>
          </w:p>
        </w:tc>
        <w:tc>
          <w:tcPr>
            <w:tcW w:w="850" w:type="dxa"/>
            <w:shd w:val="clear" w:color="auto" w:fill="F7CD9D" w:themeFill="accent1" w:themeFillTint="66"/>
          </w:tcPr>
          <w:p w:rsidR="00FE64E3" w:rsidRDefault="0022205E" w:rsidP="00B41A40">
            <w:pPr>
              <w:jc w:val="center"/>
            </w:pPr>
            <w:r>
              <w:t>0%</w:t>
            </w:r>
          </w:p>
        </w:tc>
        <w:tc>
          <w:tcPr>
            <w:tcW w:w="709" w:type="dxa"/>
            <w:shd w:val="clear" w:color="auto" w:fill="F7CD9D" w:themeFill="accent1" w:themeFillTint="66"/>
          </w:tcPr>
          <w:p w:rsidR="00FE64E3" w:rsidRDefault="00055B79" w:rsidP="00B41A40">
            <w:pPr>
              <w:jc w:val="center"/>
            </w:pPr>
            <w:r>
              <w:t>0%</w:t>
            </w:r>
          </w:p>
        </w:tc>
        <w:tc>
          <w:tcPr>
            <w:tcW w:w="709" w:type="dxa"/>
            <w:shd w:val="clear" w:color="auto" w:fill="F7CD9D" w:themeFill="accent1" w:themeFillTint="66"/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  <w:tc>
          <w:tcPr>
            <w:tcW w:w="567" w:type="dxa"/>
            <w:shd w:val="clear" w:color="auto" w:fill="F7CD9D" w:themeFill="accent1" w:themeFillTint="66"/>
          </w:tcPr>
          <w:p w:rsidR="00FE64E3" w:rsidRDefault="00FE64E3" w:rsidP="00B41A40">
            <w:pPr>
              <w:jc w:val="center"/>
            </w:pPr>
          </w:p>
        </w:tc>
        <w:tc>
          <w:tcPr>
            <w:tcW w:w="850" w:type="dxa"/>
            <w:shd w:val="clear" w:color="auto" w:fill="F7CD9D" w:themeFill="accent1" w:themeFillTint="66"/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  <w:tc>
          <w:tcPr>
            <w:tcW w:w="709" w:type="dxa"/>
            <w:shd w:val="clear" w:color="auto" w:fill="F7CD9D" w:themeFill="accent1" w:themeFillTint="66"/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7CD9D" w:themeFill="accent1" w:themeFillTint="66"/>
          </w:tcPr>
          <w:p w:rsidR="00055B79" w:rsidRDefault="00055B79" w:rsidP="00055B79">
            <w:pPr>
              <w:jc w:val="center"/>
            </w:pPr>
            <w:r>
              <w:t>100%</w:t>
            </w:r>
          </w:p>
        </w:tc>
      </w:tr>
      <w:tr w:rsidR="00315D41" w:rsidTr="00315D41">
        <w:trPr>
          <w:trHeight w:val="255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E64E3" w:rsidRDefault="00FE64E3">
            <w:r>
              <w:t>SAMS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64E3" w:rsidRDefault="00055B79" w:rsidP="00055B79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96%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85%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19%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64E3" w:rsidRDefault="00FE64E3" w:rsidP="00B41A4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64E3" w:rsidRDefault="00055B79" w:rsidP="00B41A40">
            <w:pPr>
              <w:jc w:val="center"/>
            </w:pPr>
            <w:r>
              <w:t>100%</w:t>
            </w:r>
          </w:p>
        </w:tc>
      </w:tr>
      <w:tr w:rsidR="00A2080C" w:rsidTr="00315D41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A2080C" w:rsidRDefault="00A2080C">
            <w:r>
              <w:t>Cepas sin antibiograma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A2080C" w:rsidRDefault="00747680" w:rsidP="00B41A40">
            <w:pPr>
              <w:jc w:val="center"/>
            </w:pPr>
            <w:r>
              <w:t>0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46B" w:themeFill="accent1" w:themeFillTint="99"/>
          </w:tcPr>
          <w:p w:rsidR="00A2080C" w:rsidRDefault="00A2080C" w:rsidP="00B41A40">
            <w:pPr>
              <w:jc w:val="center"/>
            </w:pPr>
          </w:p>
        </w:tc>
      </w:tr>
      <w:tr w:rsidR="00FE64E3" w:rsidTr="00315D41">
        <w:trPr>
          <w:trHeight w:val="255"/>
        </w:trPr>
        <w:tc>
          <w:tcPr>
            <w:tcW w:w="12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E3" w:rsidRDefault="00066EDF" w:rsidP="00066EDF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t xml:space="preserve">Nota: Ø  Recientemente se han aislado algunas cepas de </w:t>
            </w:r>
            <w:proofErr w:type="spellStart"/>
            <w:r w:rsidRPr="00066EDF">
              <w:rPr>
                <w:i/>
              </w:rPr>
              <w:t>Staphylococcus</w:t>
            </w:r>
            <w:proofErr w:type="spellEnd"/>
            <w:r w:rsidRPr="00066EDF">
              <w:rPr>
                <w:i/>
              </w:rPr>
              <w:t xml:space="preserve"> </w:t>
            </w:r>
            <w:proofErr w:type="spellStart"/>
            <w:r w:rsidRPr="00066EDF">
              <w:rPr>
                <w:i/>
              </w:rPr>
              <w:t>aureus</w:t>
            </w:r>
            <w:proofErr w:type="spellEnd"/>
            <w:r>
              <w:t xml:space="preserve"> portadoras del gen </w:t>
            </w:r>
            <w:proofErr w:type="spellStart"/>
            <w:r w:rsidRPr="003C3344">
              <w:rPr>
                <w:i/>
              </w:rPr>
              <w:t>mecA</w:t>
            </w:r>
            <w:proofErr w:type="spellEnd"/>
            <w:r>
              <w:t xml:space="preserve"> y, sin embargo, son sensibles a </w:t>
            </w:r>
            <w:proofErr w:type="spellStart"/>
            <w:r>
              <w:t>oxacilina</w:t>
            </w:r>
            <w:proofErr w:type="spellEnd"/>
            <w:r w:rsidR="003C3344">
              <w:t xml:space="preserve"> (</w:t>
            </w:r>
            <w:proofErr w:type="spellStart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>Nodarse</w:t>
            </w:r>
            <w:proofErr w:type="spellEnd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 xml:space="preserve"> Hernández, R. (2009). Detección de </w:t>
            </w:r>
            <w:proofErr w:type="spellStart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>Staphylococcus</w:t>
            </w:r>
            <w:proofErr w:type="spellEnd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 xml:space="preserve"> </w:t>
            </w:r>
            <w:proofErr w:type="spellStart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>aureus</w:t>
            </w:r>
            <w:proofErr w:type="spellEnd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 xml:space="preserve"> resistente a </w:t>
            </w:r>
            <w:proofErr w:type="spellStart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>meticilina</w:t>
            </w:r>
            <w:proofErr w:type="spellEnd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 xml:space="preserve"> mediante disco de </w:t>
            </w:r>
            <w:proofErr w:type="spellStart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>cefoxitina</w:t>
            </w:r>
            <w:proofErr w:type="spellEnd"/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>. </w:t>
            </w:r>
            <w:r w:rsidR="003C3344" w:rsidRPr="00270500">
              <w:rPr>
                <w:rFonts w:ascii="Arial" w:hAnsi="Arial" w:cs="Arial"/>
                <w:i/>
                <w:iCs/>
                <w:color w:val="222222"/>
                <w:sz w:val="14"/>
                <w:szCs w:val="20"/>
                <w:shd w:val="clear" w:color="auto" w:fill="FFFFFF"/>
              </w:rPr>
              <w:t>Revista Cubana de Medicina Militar</w:t>
            </w:r>
            <w:r w:rsidR="003C3344" w:rsidRP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>, </w:t>
            </w:r>
            <w:r w:rsidR="003C3344" w:rsidRPr="00270500">
              <w:rPr>
                <w:rFonts w:ascii="Arial" w:hAnsi="Arial" w:cs="Arial"/>
                <w:i/>
                <w:iCs/>
                <w:color w:val="222222"/>
                <w:sz w:val="14"/>
                <w:szCs w:val="20"/>
                <w:shd w:val="clear" w:color="auto" w:fill="FFFFFF"/>
              </w:rPr>
              <w:t>38</w:t>
            </w:r>
            <w:r w:rsidR="00270500">
              <w:rPr>
                <w:rFonts w:ascii="Arial" w:hAnsi="Arial" w:cs="Arial"/>
                <w:color w:val="222222"/>
                <w:sz w:val="14"/>
                <w:szCs w:val="20"/>
                <w:shd w:val="clear" w:color="auto" w:fill="FFFFFF"/>
              </w:rPr>
              <w:t>(3-4)</w:t>
            </w:r>
            <w:r w:rsidR="0027050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ED5ED9" w:rsidRDefault="00ED5ED9" w:rsidP="00066EDF">
            <w:r w:rsidRPr="00944060">
              <w:t xml:space="preserve">Resistencia inducida a </w:t>
            </w:r>
            <w:proofErr w:type="spellStart"/>
            <w:r w:rsidRPr="00944060">
              <w:t>clindamicina</w:t>
            </w:r>
            <w:proofErr w:type="spellEnd"/>
            <w:r w:rsidRPr="00944060">
              <w:t xml:space="preserve">: </w:t>
            </w:r>
            <w:r w:rsidR="00FA0A12">
              <w:t xml:space="preserve">Total S. aureus con </w:t>
            </w:r>
            <w:r w:rsidR="00055B79">
              <w:t>18</w:t>
            </w:r>
            <w:r w:rsidR="00FA0A12">
              <w:t xml:space="preserve">%, y SAMR </w:t>
            </w:r>
            <w:r w:rsidR="00055B79">
              <w:t>0</w:t>
            </w:r>
            <w:r w:rsidR="00944060">
              <w:t>%</w:t>
            </w:r>
          </w:p>
          <w:p w:rsidR="003C3344" w:rsidRDefault="003C3344" w:rsidP="003C3344">
            <w:r>
              <w:t xml:space="preserve">Para términos de sensibilidad se sumaron las cepas sensibles más intermedias (S+I) </w:t>
            </w:r>
          </w:p>
          <w:p w:rsidR="00997C31" w:rsidRDefault="00997C31" w:rsidP="00997C31">
            <w:pP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74210C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En este grupo </w:t>
            </w:r>
            <w:r w:rsidR="004A683F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NO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se presentaron</w:t>
            </w:r>
            <w:r w:rsidRPr="0074210C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 muerte asociada a SAMR</w:t>
            </w:r>
            <w:r w:rsidR="00FA0A12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</w:t>
            </w:r>
            <w:r w:rsidR="004A683F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0%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fueron asociadas IAAS,  Resistencia inducida </w:t>
            </w:r>
            <w:r w:rsidR="00FA0A12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 </w:t>
            </w:r>
            <w:proofErr w:type="spellStart"/>
            <w:r w:rsidR="00FA0A12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clindamicina</w:t>
            </w:r>
            <w:proofErr w:type="spellEnd"/>
            <w:r w:rsidR="00FA0A12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(RIC)  e ITS </w:t>
            </w:r>
            <w:r w:rsidR="00421C1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37.5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% y </w:t>
            </w:r>
            <w:r w:rsidR="00FA0A12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fuera del torrente sanguíneo </w:t>
            </w:r>
            <w:r w:rsidR="00421C1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% reportada por VITEK 2</w:t>
            </w:r>
          </w:p>
          <w:p w:rsidR="00997C31" w:rsidRDefault="004A683F" w:rsidP="003C3344">
            <w:r>
              <w:t xml:space="preserve">Ningún </w:t>
            </w:r>
            <w:r w:rsidR="00AD7126">
              <w:t xml:space="preserve"> cultivo se asoció a defunción</w:t>
            </w:r>
          </w:p>
          <w:p w:rsidR="00F67630" w:rsidRDefault="00F67630" w:rsidP="003C3344">
            <w:r>
              <w:t xml:space="preserve">Nota: Grafico en actualización (Datos incompletos 2025) Comparaciones cuatrimestrales </w:t>
            </w:r>
          </w:p>
        </w:tc>
      </w:tr>
    </w:tbl>
    <w:p w:rsidR="00034D06" w:rsidRDefault="00B7307E">
      <w:r w:rsidRPr="00B7307E">
        <w:rPr>
          <w:noProof/>
          <w:color w:val="FF000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6817401" wp14:editId="2F4BF898">
            <wp:simplePos x="0" y="0"/>
            <wp:positionH relativeFrom="margin">
              <wp:posOffset>671829</wp:posOffset>
            </wp:positionH>
            <wp:positionV relativeFrom="paragraph">
              <wp:posOffset>187325</wp:posOffset>
            </wp:positionV>
            <wp:extent cx="7591425" cy="2647950"/>
            <wp:effectExtent l="0" t="0" r="9525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614" w:rsidRDefault="004D2614"/>
    <w:p w:rsidR="004D2614" w:rsidRDefault="004D2614"/>
    <w:p w:rsidR="004D2614" w:rsidRDefault="004D2614"/>
    <w:p w:rsidR="004D2614" w:rsidRDefault="004D2614"/>
    <w:p w:rsidR="004D2614" w:rsidRDefault="004D2614"/>
    <w:p w:rsidR="004D2614" w:rsidRDefault="004D2614"/>
    <w:p w:rsidR="004D2614" w:rsidRDefault="004D2614"/>
    <w:tbl>
      <w:tblPr>
        <w:tblStyle w:val="Tablaconcuadrcula"/>
        <w:tblW w:w="0" w:type="auto"/>
        <w:tblInd w:w="1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11"/>
        <w:gridCol w:w="851"/>
        <w:gridCol w:w="850"/>
        <w:gridCol w:w="455"/>
        <w:gridCol w:w="667"/>
        <w:gridCol w:w="437"/>
        <w:gridCol w:w="897"/>
        <w:gridCol w:w="521"/>
        <w:gridCol w:w="813"/>
        <w:gridCol w:w="888"/>
        <w:gridCol w:w="709"/>
        <w:gridCol w:w="708"/>
      </w:tblGrid>
      <w:tr w:rsidR="00B13AA6" w:rsidTr="00A969C7">
        <w:trPr>
          <w:trHeight w:val="339"/>
        </w:trPr>
        <w:tc>
          <w:tcPr>
            <w:tcW w:w="10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</w:tcPr>
          <w:p w:rsidR="00B13AA6" w:rsidRPr="00CE6812" w:rsidRDefault="00254C92" w:rsidP="00254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Porcentaje de </w:t>
            </w:r>
            <w:r w:rsidR="00FE1F8F">
              <w:rPr>
                <w:sz w:val="28"/>
                <w:szCs w:val="28"/>
              </w:rPr>
              <w:t>S</w:t>
            </w:r>
            <w:r w:rsidR="00FE1F8F" w:rsidRPr="00CE6812">
              <w:rPr>
                <w:sz w:val="28"/>
                <w:szCs w:val="28"/>
              </w:rPr>
              <w:t>usceptibilidad</w:t>
            </w:r>
            <w:r w:rsidR="00B13AA6" w:rsidRPr="00CE6812">
              <w:rPr>
                <w:sz w:val="28"/>
                <w:szCs w:val="28"/>
              </w:rPr>
              <w:t xml:space="preserve"> para </w:t>
            </w:r>
            <w:proofErr w:type="spellStart"/>
            <w:r w:rsidR="00D9772E">
              <w:rPr>
                <w:i/>
                <w:sz w:val="28"/>
                <w:szCs w:val="28"/>
              </w:rPr>
              <w:t>Enterococcus</w:t>
            </w:r>
            <w:proofErr w:type="spellEnd"/>
            <w:r w:rsidR="00D977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9772E">
              <w:rPr>
                <w:i/>
                <w:sz w:val="28"/>
                <w:szCs w:val="28"/>
              </w:rPr>
              <w:t>spp</w:t>
            </w:r>
            <w:proofErr w:type="spellEnd"/>
          </w:p>
        </w:tc>
      </w:tr>
      <w:tr w:rsidR="00B13AA6" w:rsidTr="00A969C7">
        <w:trPr>
          <w:cantSplit/>
          <w:trHeight w:val="18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B1C66" w:rsidRDefault="008B1C66" w:rsidP="00106E4B"/>
          <w:p w:rsidR="008B1C66" w:rsidRDefault="008B1C66" w:rsidP="00106E4B"/>
          <w:p w:rsidR="008B1C66" w:rsidRDefault="008B1C66" w:rsidP="00106E4B"/>
          <w:p w:rsidR="008B1C66" w:rsidRDefault="008B1C66" w:rsidP="00106E4B"/>
          <w:p w:rsidR="008B1C66" w:rsidRDefault="008B1C66" w:rsidP="00106E4B"/>
          <w:p w:rsidR="00B13AA6" w:rsidRDefault="008B1C66" w:rsidP="00106E4B">
            <w:r>
              <w:t>M.O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B1C66" w:rsidRDefault="008B1C66" w:rsidP="00AD4094">
            <w:pPr>
              <w:jc w:val="center"/>
            </w:pPr>
          </w:p>
          <w:p w:rsidR="008B1C66" w:rsidRDefault="008B1C66" w:rsidP="00AD4094">
            <w:pPr>
              <w:jc w:val="center"/>
            </w:pPr>
          </w:p>
          <w:p w:rsidR="008B1C66" w:rsidRDefault="008B1C66" w:rsidP="00AD4094">
            <w:pPr>
              <w:jc w:val="center"/>
            </w:pPr>
          </w:p>
          <w:p w:rsidR="008B1C66" w:rsidRDefault="008B1C66" w:rsidP="00AD4094">
            <w:pPr>
              <w:jc w:val="center"/>
            </w:pPr>
          </w:p>
          <w:p w:rsidR="008B1C66" w:rsidRDefault="008B1C66" w:rsidP="00AD4094">
            <w:pPr>
              <w:jc w:val="center"/>
            </w:pPr>
          </w:p>
          <w:p w:rsidR="00B13AA6" w:rsidRDefault="008B1C66" w:rsidP="00AD4094">
            <w:pPr>
              <w:jc w:val="center"/>
            </w:pPr>
            <w:r>
              <w:t>N°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AD4094" w:rsidRDefault="00AD4094" w:rsidP="00106E4B">
            <w:pPr>
              <w:ind w:left="113" w:right="113"/>
            </w:pPr>
          </w:p>
          <w:p w:rsidR="00B13AA6" w:rsidRDefault="008D084C" w:rsidP="00106E4B">
            <w:pPr>
              <w:ind w:left="113" w:right="113"/>
            </w:pPr>
            <w:proofErr w:type="spellStart"/>
            <w:r>
              <w:t>Bencilpenicilinas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106E4B">
            <w:pPr>
              <w:ind w:left="113" w:right="113"/>
            </w:pPr>
            <w:r>
              <w:t>Ampicilina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106E4B">
            <w:pPr>
              <w:ind w:left="113" w:right="113"/>
            </w:pPr>
            <w:proofErr w:type="spellStart"/>
            <w:r>
              <w:t>Imipenem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106E4B">
            <w:pPr>
              <w:ind w:left="113" w:right="113"/>
            </w:pPr>
            <w:proofErr w:type="spellStart"/>
            <w:r>
              <w:t>Eritromicina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106E4B">
            <w:pPr>
              <w:ind w:left="113" w:right="113"/>
            </w:pPr>
            <w:proofErr w:type="spellStart"/>
            <w:r>
              <w:t>Clindamicina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A969C7">
            <w:pPr>
              <w:spacing w:before="240"/>
              <w:ind w:left="113" w:right="113"/>
            </w:pPr>
            <w:proofErr w:type="spellStart"/>
            <w:r>
              <w:t>Gentamicina</w:t>
            </w:r>
            <w:proofErr w:type="spellEnd"/>
            <w:r w:rsidR="00EA4F70">
              <w:t xml:space="preserve"> Ø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106E4B">
            <w:pPr>
              <w:ind w:left="113" w:right="113"/>
            </w:pPr>
            <w:proofErr w:type="spellStart"/>
            <w:r>
              <w:t>Amikacina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834D50">
            <w:pPr>
              <w:spacing w:before="240"/>
              <w:ind w:left="113" w:right="113"/>
            </w:pPr>
            <w:proofErr w:type="spellStart"/>
            <w:r>
              <w:t>Estreptomicina</w:t>
            </w:r>
            <w:r w:rsidR="00BE00D7">
              <w:t>Ø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106E4B">
            <w:pPr>
              <w:ind w:left="113" w:right="113"/>
            </w:pPr>
            <w:proofErr w:type="spellStart"/>
            <w:r>
              <w:t>Vancomicina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106E4B">
            <w:pPr>
              <w:ind w:left="113" w:right="113"/>
            </w:pPr>
            <w:proofErr w:type="spellStart"/>
            <w:r>
              <w:t>Daptomicina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B13AA6" w:rsidRDefault="008D084C" w:rsidP="00106E4B">
            <w:pPr>
              <w:ind w:left="113" w:right="113"/>
            </w:pPr>
            <w:proofErr w:type="spellStart"/>
            <w:r>
              <w:t>Ciprofloxacino</w:t>
            </w:r>
            <w:proofErr w:type="spellEnd"/>
          </w:p>
        </w:tc>
      </w:tr>
      <w:tr w:rsidR="00B13AA6" w:rsidTr="00A969C7">
        <w:trPr>
          <w:trHeight w:val="2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B13AA6" w:rsidRDefault="00B13AA6" w:rsidP="00D9772E">
            <w:r>
              <w:t xml:space="preserve">Todos </w:t>
            </w:r>
            <w:proofErr w:type="spellStart"/>
            <w:r w:rsidR="00D9772E">
              <w:t>Enterococos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B13AA6" w:rsidRDefault="008B1C66" w:rsidP="00AD4094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3AA6" w:rsidRDefault="00AB58F2" w:rsidP="00A969C7">
            <w:pPr>
              <w:jc w:val="right"/>
            </w:pPr>
            <w:r>
              <w:t>60%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65%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50%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60%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80%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13AA6" w:rsidRDefault="00AB58F2" w:rsidP="00106E4B">
            <w:pPr>
              <w:jc w:val="center"/>
            </w:pPr>
            <w:r>
              <w:t>80%</w:t>
            </w:r>
          </w:p>
        </w:tc>
      </w:tr>
      <w:tr w:rsidR="00B11FD6" w:rsidTr="00A969C7">
        <w:trPr>
          <w:trHeight w:val="276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F7CD9D" w:themeFill="accent1" w:themeFillTint="66"/>
          </w:tcPr>
          <w:p w:rsidR="00B11FD6" w:rsidRPr="008D084C" w:rsidRDefault="00B11FD6" w:rsidP="00B11FD6">
            <w:pPr>
              <w:rPr>
                <w:i/>
              </w:rPr>
            </w:pPr>
            <w:r w:rsidRPr="008D084C">
              <w:rPr>
                <w:i/>
              </w:rPr>
              <w:t xml:space="preserve">E. </w:t>
            </w:r>
            <w:proofErr w:type="spellStart"/>
            <w:r w:rsidRPr="008D084C">
              <w:rPr>
                <w:i/>
              </w:rPr>
              <w:t>faecalis</w:t>
            </w:r>
            <w:proofErr w:type="spellEnd"/>
          </w:p>
        </w:tc>
        <w:tc>
          <w:tcPr>
            <w:tcW w:w="511" w:type="dxa"/>
            <w:shd w:val="clear" w:color="auto" w:fill="F7CD9D" w:themeFill="accent1" w:themeFillTint="66"/>
          </w:tcPr>
          <w:p w:rsidR="00B11FD6" w:rsidRDefault="00AD4094" w:rsidP="00AD4094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F7CD9D" w:themeFill="accent1" w:themeFillTint="66"/>
          </w:tcPr>
          <w:p w:rsidR="00B11FD6" w:rsidRDefault="00AD4094" w:rsidP="00A969C7">
            <w:pPr>
              <w:jc w:val="right"/>
            </w:pPr>
            <w:r>
              <w:t>100%</w:t>
            </w:r>
          </w:p>
        </w:tc>
        <w:tc>
          <w:tcPr>
            <w:tcW w:w="850" w:type="dxa"/>
            <w:shd w:val="clear" w:color="auto" w:fill="F7CD9D" w:themeFill="accent1" w:themeFillTint="66"/>
          </w:tcPr>
          <w:p w:rsidR="00B11FD6" w:rsidRDefault="00AD4094" w:rsidP="00B11FD6">
            <w:pPr>
              <w:jc w:val="center"/>
            </w:pPr>
            <w:r>
              <w:t>100%</w:t>
            </w:r>
          </w:p>
        </w:tc>
        <w:tc>
          <w:tcPr>
            <w:tcW w:w="455" w:type="dxa"/>
            <w:shd w:val="clear" w:color="auto" w:fill="F7CD9D" w:themeFill="accent1" w:themeFillTint="66"/>
          </w:tcPr>
          <w:p w:rsidR="00B11FD6" w:rsidRDefault="00AB58F2" w:rsidP="00B11FD6">
            <w:pPr>
              <w:jc w:val="center"/>
            </w:pPr>
            <w:r>
              <w:t>-</w:t>
            </w:r>
          </w:p>
        </w:tc>
        <w:tc>
          <w:tcPr>
            <w:tcW w:w="667" w:type="dxa"/>
            <w:shd w:val="clear" w:color="auto" w:fill="F7CD9D" w:themeFill="accent1" w:themeFillTint="66"/>
          </w:tcPr>
          <w:p w:rsidR="00B11FD6" w:rsidRDefault="00834D50" w:rsidP="00B11FD6">
            <w:pPr>
              <w:jc w:val="center"/>
            </w:pPr>
            <w:r>
              <w:t>83%</w:t>
            </w:r>
          </w:p>
        </w:tc>
        <w:tc>
          <w:tcPr>
            <w:tcW w:w="437" w:type="dxa"/>
            <w:shd w:val="clear" w:color="auto" w:fill="F7CD9D" w:themeFill="accent1" w:themeFillTint="66"/>
          </w:tcPr>
          <w:p w:rsidR="00B11FD6" w:rsidRDefault="00AB58F2" w:rsidP="00B11FD6">
            <w:pPr>
              <w:jc w:val="center"/>
            </w:pPr>
            <w:r>
              <w:t>-</w:t>
            </w:r>
          </w:p>
        </w:tc>
        <w:tc>
          <w:tcPr>
            <w:tcW w:w="897" w:type="dxa"/>
            <w:shd w:val="clear" w:color="auto" w:fill="F7CD9D" w:themeFill="accent1" w:themeFillTint="66"/>
          </w:tcPr>
          <w:p w:rsidR="00B11FD6" w:rsidRDefault="00834D50" w:rsidP="00B11FD6">
            <w:pPr>
              <w:jc w:val="center"/>
            </w:pPr>
            <w:r>
              <w:t>58%</w:t>
            </w:r>
          </w:p>
        </w:tc>
        <w:tc>
          <w:tcPr>
            <w:tcW w:w="521" w:type="dxa"/>
            <w:shd w:val="clear" w:color="auto" w:fill="F7CD9D" w:themeFill="accent1" w:themeFillTint="66"/>
          </w:tcPr>
          <w:p w:rsidR="00B11FD6" w:rsidRDefault="00AB58F2" w:rsidP="00B11FD6">
            <w:pPr>
              <w:jc w:val="center"/>
            </w:pPr>
            <w:r>
              <w:t>-</w:t>
            </w:r>
          </w:p>
        </w:tc>
        <w:tc>
          <w:tcPr>
            <w:tcW w:w="813" w:type="dxa"/>
            <w:shd w:val="clear" w:color="auto" w:fill="F7CD9D" w:themeFill="accent1" w:themeFillTint="66"/>
          </w:tcPr>
          <w:p w:rsidR="00B11FD6" w:rsidRDefault="00834D50" w:rsidP="00B11FD6">
            <w:pPr>
              <w:jc w:val="center"/>
            </w:pPr>
            <w:r>
              <w:t>100%</w:t>
            </w:r>
          </w:p>
        </w:tc>
        <w:tc>
          <w:tcPr>
            <w:tcW w:w="888" w:type="dxa"/>
            <w:shd w:val="clear" w:color="auto" w:fill="F7CD9D" w:themeFill="accent1" w:themeFillTint="66"/>
          </w:tcPr>
          <w:p w:rsidR="00B11FD6" w:rsidRDefault="00834D50" w:rsidP="00B11FD6">
            <w:pPr>
              <w:jc w:val="center"/>
            </w:pPr>
            <w:r>
              <w:t>100%</w:t>
            </w:r>
          </w:p>
        </w:tc>
        <w:tc>
          <w:tcPr>
            <w:tcW w:w="709" w:type="dxa"/>
            <w:shd w:val="clear" w:color="auto" w:fill="F7CD9D" w:themeFill="accent1" w:themeFillTint="66"/>
          </w:tcPr>
          <w:p w:rsidR="00B11FD6" w:rsidRDefault="00834D50" w:rsidP="00B11FD6">
            <w:pPr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7CD9D" w:themeFill="accent1" w:themeFillTint="66"/>
          </w:tcPr>
          <w:p w:rsidR="00B11FD6" w:rsidRDefault="00834D50" w:rsidP="00B11FD6">
            <w:pPr>
              <w:jc w:val="center"/>
            </w:pPr>
            <w:r>
              <w:t>100%</w:t>
            </w:r>
          </w:p>
        </w:tc>
      </w:tr>
      <w:tr w:rsidR="00B11FD6" w:rsidTr="00A969C7">
        <w:trPr>
          <w:trHeight w:val="276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B11FD6" w:rsidRPr="008D084C" w:rsidRDefault="00B11FD6" w:rsidP="00B11FD6">
            <w:pPr>
              <w:rPr>
                <w:i/>
              </w:rPr>
            </w:pPr>
            <w:r w:rsidRPr="008D084C">
              <w:rPr>
                <w:i/>
              </w:rPr>
              <w:t xml:space="preserve">E. </w:t>
            </w:r>
            <w:proofErr w:type="spellStart"/>
            <w:r w:rsidRPr="008D084C">
              <w:rPr>
                <w:i/>
              </w:rPr>
              <w:t>faecium</w:t>
            </w:r>
            <w:proofErr w:type="spellEnd"/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B11FD6" w:rsidRDefault="00A969C7" w:rsidP="00AD4094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1FD6" w:rsidRDefault="00A969C7" w:rsidP="00A969C7">
            <w:pPr>
              <w:jc w:val="right"/>
            </w:pPr>
            <w:r>
              <w:t>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12.5%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0%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-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62.5%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50%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87.5%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11FD6" w:rsidRDefault="00A969C7" w:rsidP="00B11FD6">
            <w:pPr>
              <w:jc w:val="center"/>
            </w:pPr>
            <w:r>
              <w:t>50%</w:t>
            </w:r>
          </w:p>
        </w:tc>
      </w:tr>
      <w:tr w:rsidR="00B11FD6" w:rsidTr="00A969C7">
        <w:trPr>
          <w:trHeight w:val="2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B11FD6" w:rsidRDefault="00B11FD6" w:rsidP="00B11FD6">
            <w:r>
              <w:t>Cepas sin antibiograma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B11FD6" w:rsidRDefault="00BE00D7" w:rsidP="00B11FD6">
            <w:pPr>
              <w:jc w:val="center"/>
            </w:pPr>
            <w:r>
              <w:t>0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46B" w:themeFill="accent1" w:themeFillTint="99"/>
          </w:tcPr>
          <w:p w:rsidR="00B11FD6" w:rsidRDefault="00B11FD6" w:rsidP="00B11FD6">
            <w:pPr>
              <w:jc w:val="center"/>
            </w:pPr>
          </w:p>
        </w:tc>
      </w:tr>
      <w:tr w:rsidR="00B11FD6" w:rsidTr="00A969C7">
        <w:trPr>
          <w:trHeight w:val="276"/>
        </w:trPr>
        <w:tc>
          <w:tcPr>
            <w:tcW w:w="10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D6" w:rsidRDefault="00B11FD6" w:rsidP="00B11FD6">
            <w:r>
              <w:t>Nota</w:t>
            </w:r>
            <w:r w:rsidR="00EA4F70">
              <w:t>: Para términos de sensibilidad se sumaron las cepas sensibles más intermedias (S+I)</w:t>
            </w:r>
          </w:p>
          <w:p w:rsidR="00EA4F70" w:rsidRDefault="00EA4F70" w:rsidP="00B11FD6">
            <w:r>
              <w:t xml:space="preserve">Ø alta sinergia (sinergia </w:t>
            </w:r>
            <w:proofErr w:type="spellStart"/>
            <w:r>
              <w:t>betalactámicos</w:t>
            </w:r>
            <w:proofErr w:type="spellEnd"/>
            <w:r>
              <w:t>/AMG)</w:t>
            </w:r>
          </w:p>
          <w:p w:rsidR="00B11FD6" w:rsidRDefault="00B11FD6" w:rsidP="00AD7126">
            <w:r>
              <w:t xml:space="preserve"> </w:t>
            </w:r>
            <w:r w:rsidR="00AD7126">
              <w:t xml:space="preserve">En </w:t>
            </w:r>
            <w:proofErr w:type="spellStart"/>
            <w:r w:rsidR="00AD7126" w:rsidRPr="00AD7126">
              <w:rPr>
                <w:i/>
              </w:rPr>
              <w:t>Enterococcus</w:t>
            </w:r>
            <w:proofErr w:type="spellEnd"/>
            <w:r w:rsidR="00AD7126" w:rsidRPr="00AD7126">
              <w:rPr>
                <w:i/>
              </w:rPr>
              <w:t xml:space="preserve"> </w:t>
            </w:r>
            <w:proofErr w:type="spellStart"/>
            <w:r w:rsidR="00AD7126" w:rsidRPr="00AD7126">
              <w:rPr>
                <w:i/>
              </w:rPr>
              <w:t>faecalis</w:t>
            </w:r>
            <w:proofErr w:type="spellEnd"/>
            <w:r w:rsidR="00AD7126">
              <w:t xml:space="preserve"> </w:t>
            </w:r>
            <w:r w:rsidR="00594211">
              <w:t>un cultivo</w:t>
            </w:r>
            <w:r w:rsidR="00AD7126">
              <w:t xml:space="preserve"> se asociaron a defunción</w:t>
            </w:r>
          </w:p>
          <w:p w:rsidR="00AD7126" w:rsidRDefault="00AD7126" w:rsidP="00AD7126">
            <w:r>
              <w:t xml:space="preserve"> En </w:t>
            </w:r>
            <w:proofErr w:type="spellStart"/>
            <w:r w:rsidRPr="00AD7126">
              <w:rPr>
                <w:i/>
              </w:rPr>
              <w:t>Enterococcus</w:t>
            </w:r>
            <w:proofErr w:type="spellEnd"/>
            <w:r w:rsidRPr="00AD7126">
              <w:rPr>
                <w:i/>
              </w:rPr>
              <w:t xml:space="preserve"> </w:t>
            </w:r>
            <w:proofErr w:type="spellStart"/>
            <w:r w:rsidRPr="00AD7126">
              <w:rPr>
                <w:i/>
              </w:rPr>
              <w:t>faecium</w:t>
            </w:r>
            <w:proofErr w:type="spellEnd"/>
            <w:r>
              <w:t xml:space="preserve"> </w:t>
            </w:r>
            <w:r w:rsidR="00594211">
              <w:t>Ningún cultivo</w:t>
            </w:r>
            <w:r>
              <w:t xml:space="preserve"> se asoció a defunción</w:t>
            </w:r>
          </w:p>
          <w:p w:rsidR="00F67630" w:rsidRDefault="00F67630" w:rsidP="00AD7126">
            <w:r>
              <w:t>Nota: Grafico en actualización (Datos incompletos 2025) Comparaciones cuatrimestrales</w:t>
            </w:r>
          </w:p>
        </w:tc>
      </w:tr>
    </w:tbl>
    <w:p w:rsidR="003C3344" w:rsidRDefault="003C3344" w:rsidP="00EE3A31">
      <w:pPr>
        <w:jc w:val="both"/>
      </w:pPr>
    </w:p>
    <w:p w:rsidR="003C3344" w:rsidRDefault="00F67630"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B6B5FE1" wp14:editId="714A231C">
            <wp:simplePos x="0" y="0"/>
            <wp:positionH relativeFrom="column">
              <wp:posOffset>1119504</wp:posOffset>
            </wp:positionH>
            <wp:positionV relativeFrom="paragraph">
              <wp:posOffset>29210</wp:posOffset>
            </wp:positionV>
            <wp:extent cx="6829425" cy="2876550"/>
            <wp:effectExtent l="0" t="0" r="9525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344" w:rsidRDefault="003C3344"/>
    <w:p w:rsidR="00F75096" w:rsidRDefault="00F75096"/>
    <w:p w:rsidR="00F75096" w:rsidRDefault="00F75096"/>
    <w:p w:rsidR="00F75096" w:rsidRDefault="00F75096"/>
    <w:p w:rsidR="003C3344" w:rsidRDefault="003C3344"/>
    <w:p w:rsidR="00F03091" w:rsidRDefault="00F03091"/>
    <w:p w:rsidR="00F03091" w:rsidRDefault="00F03091"/>
    <w:p w:rsidR="00F03091" w:rsidRDefault="00F03091"/>
    <w:tbl>
      <w:tblPr>
        <w:tblStyle w:val="Tablaconcuadrcula"/>
        <w:tblW w:w="0" w:type="auto"/>
        <w:tblInd w:w="2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567"/>
        <w:gridCol w:w="567"/>
        <w:gridCol w:w="709"/>
        <w:gridCol w:w="720"/>
        <w:gridCol w:w="556"/>
        <w:gridCol w:w="567"/>
        <w:gridCol w:w="602"/>
        <w:gridCol w:w="674"/>
        <w:gridCol w:w="708"/>
        <w:gridCol w:w="567"/>
        <w:gridCol w:w="690"/>
        <w:gridCol w:w="444"/>
        <w:gridCol w:w="709"/>
      </w:tblGrid>
      <w:tr w:rsidR="005C236F" w:rsidTr="002876F7">
        <w:trPr>
          <w:trHeight w:val="461"/>
        </w:trPr>
        <w:tc>
          <w:tcPr>
            <w:tcW w:w="9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</w:tcPr>
          <w:p w:rsidR="005C236F" w:rsidRPr="00CE6812" w:rsidRDefault="005C236F" w:rsidP="00D61408">
            <w:pPr>
              <w:jc w:val="center"/>
              <w:rPr>
                <w:sz w:val="28"/>
                <w:szCs w:val="28"/>
              </w:rPr>
            </w:pPr>
            <w:r w:rsidRPr="00CE6812">
              <w:rPr>
                <w:sz w:val="28"/>
                <w:szCs w:val="28"/>
              </w:rPr>
              <w:lastRenderedPageBreak/>
              <w:t xml:space="preserve">Porcentaje de </w:t>
            </w:r>
            <w:r w:rsidR="00FE1F8F">
              <w:rPr>
                <w:sz w:val="28"/>
                <w:szCs w:val="28"/>
              </w:rPr>
              <w:t>S</w:t>
            </w:r>
            <w:r w:rsidR="00FE1F8F" w:rsidRPr="00CE6812">
              <w:rPr>
                <w:sz w:val="28"/>
                <w:szCs w:val="28"/>
              </w:rPr>
              <w:t>usceptibilidad</w:t>
            </w:r>
            <w:r w:rsidRPr="00CE6812">
              <w:rPr>
                <w:sz w:val="28"/>
                <w:szCs w:val="28"/>
              </w:rPr>
              <w:t xml:space="preserve"> para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6C4C">
              <w:rPr>
                <w:i/>
                <w:sz w:val="28"/>
                <w:szCs w:val="28"/>
              </w:rPr>
              <w:t>Pseudomona</w:t>
            </w:r>
            <w:r w:rsidR="00106E4B">
              <w:rPr>
                <w:i/>
                <w:sz w:val="28"/>
                <w:szCs w:val="28"/>
              </w:rPr>
              <w:t>s</w:t>
            </w:r>
            <w:proofErr w:type="spellEnd"/>
            <w:r w:rsidRPr="00AF6C4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6C4C">
              <w:rPr>
                <w:i/>
                <w:sz w:val="28"/>
                <w:szCs w:val="28"/>
              </w:rPr>
              <w:t>aeruginosa</w:t>
            </w:r>
            <w:proofErr w:type="spellEnd"/>
          </w:p>
        </w:tc>
      </w:tr>
      <w:tr w:rsidR="00CD0AB7" w:rsidTr="002876F7">
        <w:trPr>
          <w:cantSplit/>
          <w:trHeight w:val="245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CD0AB7" w:rsidRDefault="00254C92" w:rsidP="00106E4B">
            <w:r>
              <w:t>M.O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254C92" w:rsidRDefault="00254C92" w:rsidP="00106E4B"/>
          <w:p w:rsidR="00CD0AB7" w:rsidRDefault="00254C92" w:rsidP="00106E4B">
            <w:r>
              <w:t>N°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106E4B">
            <w:pPr>
              <w:ind w:left="113" w:right="113"/>
            </w:pPr>
            <w:proofErr w:type="spellStart"/>
            <w:r>
              <w:t>Piperacilina</w:t>
            </w:r>
            <w:proofErr w:type="spellEnd"/>
            <w:r>
              <w:t>/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CD0AB7">
            <w:pPr>
              <w:ind w:left="113" w:right="113"/>
            </w:pPr>
            <w:proofErr w:type="spellStart"/>
            <w:r>
              <w:t>Ceftazidima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106E4B">
            <w:pPr>
              <w:ind w:left="113" w:right="113"/>
            </w:pPr>
            <w:proofErr w:type="spellStart"/>
            <w:r>
              <w:t>Cefepime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106E4B">
            <w:pPr>
              <w:ind w:left="113" w:right="113"/>
            </w:pPr>
            <w:proofErr w:type="spellStart"/>
            <w:r>
              <w:t>Aztreonam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CD0AB7">
            <w:pPr>
              <w:ind w:left="113" w:right="113"/>
            </w:pPr>
            <w:proofErr w:type="spellStart"/>
            <w:r>
              <w:t>Imipenem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106E4B">
            <w:pPr>
              <w:ind w:left="113" w:right="113"/>
            </w:pPr>
            <w:proofErr w:type="spellStart"/>
            <w:r>
              <w:t>Meropenem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2876F7">
            <w:pPr>
              <w:ind w:left="113" w:right="113"/>
            </w:pPr>
            <w:proofErr w:type="spellStart"/>
            <w:r>
              <w:t>Amikacina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106E4B">
            <w:pPr>
              <w:ind w:left="113" w:right="113"/>
            </w:pPr>
            <w:proofErr w:type="spellStart"/>
            <w:r>
              <w:t>Gentamicina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CD0AB7">
            <w:pPr>
              <w:ind w:left="113" w:right="113"/>
            </w:pPr>
            <w:proofErr w:type="spellStart"/>
            <w:r>
              <w:t>Colistina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106E4B">
            <w:pPr>
              <w:ind w:left="113" w:right="113"/>
            </w:pPr>
            <w:proofErr w:type="spellStart"/>
            <w:r>
              <w:t>Fosfomicina</w:t>
            </w:r>
            <w:proofErr w:type="spellEnd"/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106E4B">
            <w:pPr>
              <w:ind w:left="113" w:right="113"/>
            </w:pPr>
            <w:proofErr w:type="spellStart"/>
            <w:r>
              <w:t>Tigeciclina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CD0AB7" w:rsidRDefault="00CD0AB7" w:rsidP="00106E4B">
            <w:pPr>
              <w:ind w:left="113" w:right="113"/>
            </w:pPr>
            <w:proofErr w:type="spellStart"/>
            <w:r>
              <w:t>Ciprofloxacino</w:t>
            </w:r>
            <w:proofErr w:type="spellEnd"/>
          </w:p>
        </w:tc>
      </w:tr>
      <w:tr w:rsidR="002876F7" w:rsidTr="002876F7">
        <w:trPr>
          <w:trHeight w:val="376"/>
        </w:trPr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CD0AB7" w:rsidRPr="008D084C" w:rsidRDefault="00CD0AB7" w:rsidP="00106E4B">
            <w:pPr>
              <w:rPr>
                <w:i/>
              </w:rPr>
            </w:pPr>
            <w:r>
              <w:rPr>
                <w:i/>
              </w:rPr>
              <w:t xml:space="preserve">P. </w:t>
            </w:r>
            <w:proofErr w:type="spellStart"/>
            <w:r>
              <w:rPr>
                <w:i/>
              </w:rPr>
              <w:t>aeruginosa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D0AB7" w:rsidRDefault="0091001E" w:rsidP="0091001E">
            <w:r>
              <w:t>57</w:t>
            </w:r>
          </w:p>
        </w:tc>
        <w:tc>
          <w:tcPr>
            <w:tcW w:w="567" w:type="dxa"/>
            <w:shd w:val="clear" w:color="auto" w:fill="auto"/>
          </w:tcPr>
          <w:p w:rsidR="00CD0AB7" w:rsidRDefault="0091001E" w:rsidP="00106E4B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CD0AB7" w:rsidRDefault="005D0033" w:rsidP="002876F7">
            <w:r>
              <w:t>78%</w:t>
            </w:r>
          </w:p>
        </w:tc>
        <w:tc>
          <w:tcPr>
            <w:tcW w:w="720" w:type="dxa"/>
            <w:shd w:val="clear" w:color="auto" w:fill="auto"/>
          </w:tcPr>
          <w:p w:rsidR="00CD0AB7" w:rsidRDefault="002876F7" w:rsidP="00106E4B">
            <w:pPr>
              <w:jc w:val="center"/>
            </w:pPr>
            <w:r>
              <w:t>100%</w:t>
            </w:r>
          </w:p>
        </w:tc>
        <w:tc>
          <w:tcPr>
            <w:tcW w:w="556" w:type="dxa"/>
            <w:shd w:val="clear" w:color="auto" w:fill="auto"/>
          </w:tcPr>
          <w:p w:rsidR="00CD0AB7" w:rsidRDefault="002876F7" w:rsidP="00106E4B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CD0AB7" w:rsidRDefault="002876F7" w:rsidP="00106E4B">
            <w:pPr>
              <w:jc w:val="center"/>
            </w:pPr>
            <w:r>
              <w:t>-</w:t>
            </w:r>
          </w:p>
        </w:tc>
        <w:tc>
          <w:tcPr>
            <w:tcW w:w="602" w:type="dxa"/>
            <w:shd w:val="clear" w:color="auto" w:fill="auto"/>
          </w:tcPr>
          <w:p w:rsidR="00CD0AB7" w:rsidRDefault="002876F7" w:rsidP="00106E4B">
            <w:pPr>
              <w:jc w:val="center"/>
            </w:pPr>
            <w:r>
              <w:t>70%</w:t>
            </w:r>
          </w:p>
        </w:tc>
        <w:tc>
          <w:tcPr>
            <w:tcW w:w="674" w:type="dxa"/>
            <w:shd w:val="clear" w:color="auto" w:fill="auto"/>
          </w:tcPr>
          <w:p w:rsidR="00CD0AB7" w:rsidRDefault="002876F7" w:rsidP="00106E4B">
            <w:pPr>
              <w:jc w:val="center"/>
            </w:pPr>
            <w:r>
              <w:t>98%</w:t>
            </w:r>
          </w:p>
        </w:tc>
        <w:tc>
          <w:tcPr>
            <w:tcW w:w="708" w:type="dxa"/>
            <w:shd w:val="clear" w:color="auto" w:fill="auto"/>
          </w:tcPr>
          <w:p w:rsidR="00CD0AB7" w:rsidRDefault="002876F7" w:rsidP="00106E4B">
            <w:pPr>
              <w:jc w:val="center"/>
            </w:pPr>
            <w:r>
              <w:t>100%</w:t>
            </w:r>
          </w:p>
        </w:tc>
        <w:tc>
          <w:tcPr>
            <w:tcW w:w="567" w:type="dxa"/>
            <w:shd w:val="clear" w:color="auto" w:fill="auto"/>
          </w:tcPr>
          <w:p w:rsidR="00CD0AB7" w:rsidRDefault="002876F7" w:rsidP="002876F7">
            <w:pPr>
              <w:jc w:val="center"/>
            </w:pPr>
            <w:r>
              <w:t>-</w:t>
            </w:r>
          </w:p>
        </w:tc>
        <w:tc>
          <w:tcPr>
            <w:tcW w:w="690" w:type="dxa"/>
            <w:shd w:val="clear" w:color="auto" w:fill="auto"/>
          </w:tcPr>
          <w:p w:rsidR="00CD0AB7" w:rsidRDefault="002876F7" w:rsidP="00106E4B">
            <w:pPr>
              <w:jc w:val="center"/>
            </w:pPr>
            <w:r>
              <w:t>46%</w:t>
            </w:r>
          </w:p>
        </w:tc>
        <w:tc>
          <w:tcPr>
            <w:tcW w:w="444" w:type="dxa"/>
            <w:shd w:val="clear" w:color="auto" w:fill="auto"/>
          </w:tcPr>
          <w:p w:rsidR="00CD0AB7" w:rsidRDefault="002876F7" w:rsidP="00106E4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D0AB7" w:rsidRDefault="00EB0FFB" w:rsidP="00106E4B">
            <w:pPr>
              <w:jc w:val="center"/>
            </w:pPr>
            <w:r>
              <w:t>88%</w:t>
            </w:r>
          </w:p>
        </w:tc>
      </w:tr>
      <w:tr w:rsidR="00CD0AB7" w:rsidTr="002876F7">
        <w:trPr>
          <w:trHeight w:val="37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CD0AB7" w:rsidRDefault="00CD0AB7" w:rsidP="00106E4B">
            <w:r>
              <w:t>Cepas sin antibiograma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CD0AB7" w:rsidRDefault="00473994" w:rsidP="00106E4B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CD0AB7" w:rsidRDefault="00CD0AB7" w:rsidP="00106E4B">
            <w:pPr>
              <w:jc w:val="center"/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46B" w:themeFill="accent1" w:themeFillTint="99"/>
          </w:tcPr>
          <w:p w:rsidR="00CD0AB7" w:rsidRDefault="00CD0AB7" w:rsidP="00106E4B">
            <w:pPr>
              <w:jc w:val="center"/>
            </w:pPr>
          </w:p>
        </w:tc>
      </w:tr>
      <w:tr w:rsidR="00CD0AB7" w:rsidTr="002876F7">
        <w:trPr>
          <w:trHeight w:val="376"/>
        </w:trPr>
        <w:tc>
          <w:tcPr>
            <w:tcW w:w="9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7" w:rsidRDefault="00CD0AB7" w:rsidP="00106E4B">
            <w:r>
              <w:t>Nota: Para términos de sensibilidad se sumaron las cepas sensibles más intermedias (S+I)</w:t>
            </w:r>
          </w:p>
          <w:p w:rsidR="00CD0AB7" w:rsidRDefault="00594211" w:rsidP="00106E4B">
            <w:r>
              <w:t xml:space="preserve"> 4 I</w:t>
            </w:r>
            <w:r w:rsidR="005F3573">
              <w:t>nfecciones</w:t>
            </w:r>
            <w:r>
              <w:t xml:space="preserve"> identificadas como IAAS</w:t>
            </w:r>
            <w:r w:rsidR="005F3573">
              <w:t xml:space="preserve"> por </w:t>
            </w:r>
            <w:r w:rsidR="005F3573" w:rsidRPr="005F3573">
              <w:rPr>
                <w:i/>
              </w:rPr>
              <w:t xml:space="preserve">P. </w:t>
            </w:r>
            <w:proofErr w:type="spellStart"/>
            <w:r w:rsidR="005F3573" w:rsidRPr="005F3573">
              <w:rPr>
                <w:i/>
              </w:rPr>
              <w:t>aeruginosa</w:t>
            </w:r>
            <w:proofErr w:type="spellEnd"/>
            <w:r w:rsidR="005F3573">
              <w:t xml:space="preserve"> se asociaron a defunción</w:t>
            </w:r>
          </w:p>
          <w:p w:rsidR="00EA267B" w:rsidRDefault="00EA267B" w:rsidP="00106E4B">
            <w:r>
              <w:t>Nota: Grafico en actualización (Datos incompletos 2025) Comparaciones cuatrimestrales</w:t>
            </w:r>
          </w:p>
        </w:tc>
      </w:tr>
    </w:tbl>
    <w:p w:rsidR="00F03091" w:rsidRDefault="00F03091"/>
    <w:p w:rsidR="00EF722D" w:rsidRDefault="00EA267B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8783722" wp14:editId="16E7E69A">
            <wp:simplePos x="0" y="0"/>
            <wp:positionH relativeFrom="margin">
              <wp:posOffset>776604</wp:posOffset>
            </wp:positionH>
            <wp:positionV relativeFrom="paragraph">
              <wp:posOffset>10160</wp:posOffset>
            </wp:positionV>
            <wp:extent cx="7858125" cy="2990850"/>
            <wp:effectExtent l="0" t="0" r="9525" b="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22D" w:rsidRDefault="00EF722D"/>
    <w:p w:rsidR="00EF722D" w:rsidRDefault="00EF722D"/>
    <w:p w:rsidR="00EF722D" w:rsidRDefault="00EF722D"/>
    <w:p w:rsidR="00EF722D" w:rsidRDefault="00EF722D"/>
    <w:p w:rsidR="00EF722D" w:rsidRDefault="00EF722D"/>
    <w:p w:rsidR="00EF722D" w:rsidRDefault="00EF722D"/>
    <w:p w:rsidR="00EF722D" w:rsidRDefault="00EF722D"/>
    <w:p w:rsidR="00EF722D" w:rsidRDefault="00EF722D"/>
    <w:tbl>
      <w:tblPr>
        <w:tblStyle w:val="Tablaconcuadrcula"/>
        <w:tblW w:w="0" w:type="auto"/>
        <w:tblInd w:w="1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67"/>
        <w:gridCol w:w="709"/>
        <w:gridCol w:w="425"/>
        <w:gridCol w:w="851"/>
        <w:gridCol w:w="708"/>
        <w:gridCol w:w="709"/>
        <w:gridCol w:w="567"/>
        <w:gridCol w:w="567"/>
        <w:gridCol w:w="709"/>
        <w:gridCol w:w="709"/>
        <w:gridCol w:w="708"/>
        <w:gridCol w:w="426"/>
        <w:gridCol w:w="708"/>
        <w:gridCol w:w="426"/>
        <w:gridCol w:w="850"/>
      </w:tblGrid>
      <w:tr w:rsidR="00761C63" w:rsidTr="00207984">
        <w:trPr>
          <w:trHeight w:val="461"/>
        </w:trPr>
        <w:tc>
          <w:tcPr>
            <w:tcW w:w="115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</w:tcPr>
          <w:p w:rsidR="00761C63" w:rsidRPr="00CE6812" w:rsidRDefault="00284218" w:rsidP="00284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Porcentaje de </w:t>
            </w:r>
            <w:r w:rsidR="00FE1F8F">
              <w:rPr>
                <w:sz w:val="28"/>
                <w:szCs w:val="28"/>
              </w:rPr>
              <w:t>S</w:t>
            </w:r>
            <w:r w:rsidR="00FE1F8F" w:rsidRPr="00CE6812">
              <w:rPr>
                <w:sz w:val="28"/>
                <w:szCs w:val="28"/>
              </w:rPr>
              <w:t>usceptibilidad</w:t>
            </w:r>
            <w:r w:rsidR="00761C63" w:rsidRPr="00CE6812">
              <w:rPr>
                <w:sz w:val="28"/>
                <w:szCs w:val="28"/>
              </w:rPr>
              <w:t xml:space="preserve"> para </w:t>
            </w:r>
            <w:r w:rsidR="00761C63">
              <w:rPr>
                <w:sz w:val="28"/>
                <w:szCs w:val="28"/>
              </w:rPr>
              <w:t xml:space="preserve"> </w:t>
            </w:r>
            <w:proofErr w:type="spellStart"/>
            <w:r w:rsidR="00761C63">
              <w:rPr>
                <w:i/>
                <w:sz w:val="28"/>
                <w:szCs w:val="28"/>
              </w:rPr>
              <w:t>Klebsiella</w:t>
            </w:r>
            <w:proofErr w:type="spellEnd"/>
            <w:r w:rsidR="00761C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61C63">
              <w:rPr>
                <w:i/>
                <w:sz w:val="28"/>
                <w:szCs w:val="28"/>
              </w:rPr>
              <w:t>spp</w:t>
            </w:r>
            <w:proofErr w:type="spellEnd"/>
            <w:r w:rsidR="00761C63">
              <w:rPr>
                <w:i/>
                <w:sz w:val="28"/>
                <w:szCs w:val="28"/>
              </w:rPr>
              <w:t>.</w:t>
            </w:r>
          </w:p>
        </w:tc>
      </w:tr>
      <w:tr w:rsidR="006D2095" w:rsidTr="00207984">
        <w:trPr>
          <w:cantSplit/>
          <w:trHeight w:val="24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040808" w:rsidRDefault="00284218" w:rsidP="00106E4B">
            <w:r>
              <w:t>M.O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284218" w:rsidRDefault="00284218" w:rsidP="00106E4B"/>
          <w:p w:rsidR="00040808" w:rsidRDefault="00284218" w:rsidP="006D2095">
            <w:pPr>
              <w:jc w:val="center"/>
            </w:pPr>
            <w:r>
              <w:t>N°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r>
              <w:t>Ampicilina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Piperacilina</w:t>
            </w:r>
            <w:proofErr w:type="spellEnd"/>
            <w:r>
              <w:t>/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6D2095">
            <w:pPr>
              <w:spacing w:before="240"/>
              <w:ind w:left="113" w:right="113"/>
            </w:pPr>
            <w:proofErr w:type="spellStart"/>
            <w:r>
              <w:t>Ceftriaxona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Ceftazidima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Cefepime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Aztreonam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Imipenem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Meropenem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Amikacina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Gentamicina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Colistina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Fosfomicina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040808" w:rsidRDefault="00040808" w:rsidP="00106E4B">
            <w:pPr>
              <w:ind w:left="113" w:right="113"/>
            </w:pPr>
            <w:proofErr w:type="spellStart"/>
            <w:r>
              <w:t>Tigeciclina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207984" w:rsidRDefault="00207984" w:rsidP="00106E4B">
            <w:pPr>
              <w:ind w:left="113" w:right="113"/>
            </w:pPr>
          </w:p>
          <w:p w:rsidR="00040808" w:rsidRDefault="00040808" w:rsidP="00106E4B">
            <w:pPr>
              <w:ind w:left="113" w:right="113"/>
            </w:pPr>
            <w:proofErr w:type="spellStart"/>
            <w:r>
              <w:t>Ciprofloxacino</w:t>
            </w:r>
            <w:proofErr w:type="spellEnd"/>
          </w:p>
        </w:tc>
      </w:tr>
      <w:tr w:rsidR="006D2095" w:rsidTr="00207984">
        <w:trPr>
          <w:trHeight w:val="37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Pr="00A55355" w:rsidRDefault="00A55355" w:rsidP="00040808">
            <w:pPr>
              <w:rPr>
                <w:sz w:val="20"/>
              </w:rPr>
            </w:pPr>
            <w:r w:rsidRPr="00A55355">
              <w:rPr>
                <w:sz w:val="20"/>
              </w:rPr>
              <w:t>Todas</w:t>
            </w:r>
            <w:r w:rsidR="00040808" w:rsidRPr="00A55355"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Klebsiella</w:t>
            </w:r>
            <w:proofErr w:type="spellEnd"/>
            <w:r w:rsidRPr="00A55355">
              <w:rPr>
                <w:i/>
                <w:sz w:val="20"/>
              </w:rPr>
              <w:t xml:space="preserve"> </w:t>
            </w:r>
            <w:proofErr w:type="spellStart"/>
            <w:r w:rsidRPr="00A55355">
              <w:rPr>
                <w:i/>
                <w:sz w:val="20"/>
              </w:rPr>
              <w:t>spp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84218" w:rsidP="00106E4B">
            <w:pPr>
              <w:jc w:val="center"/>
            </w:pPr>
            <w:r>
              <w:t>111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84218" w:rsidP="00106E4B">
            <w:pPr>
              <w:jc w:val="center"/>
            </w:pPr>
            <w:r>
              <w:t>17%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84218" w:rsidP="00106E4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84218" w:rsidP="00106E4B">
            <w:pPr>
              <w:jc w:val="center"/>
            </w:pPr>
            <w:r>
              <w:t>13.5%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33%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27%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6D209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60%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048A2" w:rsidP="00106E4B">
            <w:pPr>
              <w:jc w:val="center"/>
            </w:pPr>
            <w:r>
              <w:t>22</w:t>
            </w:r>
            <w:r w:rsidR="006D2095">
              <w:t>%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048A2" w:rsidP="002048A2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5D735B" w:rsidP="00106E4B">
            <w:pPr>
              <w:jc w:val="center"/>
            </w:pPr>
            <w:r>
              <w:t>97%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53E57" w:rsidP="00106E4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</w:tcPr>
          <w:p w:rsidR="00040808" w:rsidRDefault="00207984" w:rsidP="004C0649">
            <w:pPr>
              <w:jc w:val="center"/>
            </w:pPr>
            <w:r>
              <w:t>31.5%</w:t>
            </w:r>
          </w:p>
        </w:tc>
      </w:tr>
      <w:tr w:rsidR="006D2095" w:rsidTr="00207984">
        <w:trPr>
          <w:trHeight w:val="37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Pr="008D084C" w:rsidRDefault="00040808" w:rsidP="00106E4B">
            <w:pPr>
              <w:rPr>
                <w:i/>
              </w:rPr>
            </w:pPr>
            <w:r>
              <w:rPr>
                <w:i/>
              </w:rPr>
              <w:t xml:space="preserve">K. </w:t>
            </w:r>
            <w:proofErr w:type="spellStart"/>
            <w:r>
              <w:rPr>
                <w:i/>
              </w:rPr>
              <w:t>pneumoniae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07984" w:rsidP="00106E4B">
            <w:pPr>
              <w:jc w:val="center"/>
            </w:pPr>
            <w:r>
              <w:t>107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07984" w:rsidP="00106E4B">
            <w:pPr>
              <w:jc w:val="center"/>
            </w:pPr>
            <w:r>
              <w:t>14%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84218" w:rsidP="00106E4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E1203C" w:rsidP="00106E4B">
            <w:pPr>
              <w:jc w:val="center"/>
            </w:pPr>
            <w:r>
              <w:t>10%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E1203C" w:rsidP="00106E4B">
            <w:pPr>
              <w:jc w:val="center"/>
            </w:pPr>
            <w:r>
              <w:t>31%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E1203C" w:rsidP="00106E4B">
            <w:pPr>
              <w:jc w:val="center"/>
            </w:pPr>
            <w:r>
              <w:t>24%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E1203C" w:rsidP="00106E4B">
            <w:pPr>
              <w:jc w:val="center"/>
            </w:pPr>
            <w:r>
              <w:t>59%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19%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2048A2" w:rsidP="00106E4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57%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040808" w:rsidRDefault="00653E57" w:rsidP="00106E4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4C0649">
            <w:pPr>
              <w:jc w:val="center"/>
            </w:pPr>
            <w:r>
              <w:t>31%</w:t>
            </w:r>
          </w:p>
        </w:tc>
      </w:tr>
      <w:tr w:rsidR="006D2095" w:rsidTr="00207984">
        <w:trPr>
          <w:trHeight w:val="37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7CD9D" w:themeFill="accent1" w:themeFillTint="66"/>
          </w:tcPr>
          <w:p w:rsidR="00040808" w:rsidRDefault="00040808" w:rsidP="004F320E">
            <w:pPr>
              <w:rPr>
                <w:i/>
              </w:rPr>
            </w:pPr>
            <w:r>
              <w:rPr>
                <w:i/>
              </w:rPr>
              <w:t xml:space="preserve">K. </w:t>
            </w:r>
            <w:proofErr w:type="spellStart"/>
            <w:r>
              <w:rPr>
                <w:i/>
              </w:rPr>
              <w:t>oxytoca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100%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284218" w:rsidP="00106E4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100%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2048A2"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6D2095" w:rsidP="00106E4B">
            <w:pPr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100%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2048A2" w:rsidP="00106E4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75%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7CD9D" w:themeFill="accent1" w:themeFillTint="66"/>
          </w:tcPr>
          <w:p w:rsidR="00040808" w:rsidRDefault="00653E57" w:rsidP="00106E4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7CD9D" w:themeFill="accent1" w:themeFillTint="66"/>
          </w:tcPr>
          <w:p w:rsidR="00040808" w:rsidRDefault="004C0649" w:rsidP="00106E4B">
            <w:pPr>
              <w:jc w:val="center"/>
            </w:pPr>
            <w:r>
              <w:t>100%</w:t>
            </w:r>
          </w:p>
        </w:tc>
      </w:tr>
      <w:tr w:rsidR="00040808" w:rsidTr="00207984">
        <w:trPr>
          <w:trHeight w:val="37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040808" w:rsidRDefault="00040808" w:rsidP="00106E4B">
            <w:r>
              <w:t>Sin antibiograma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040808" w:rsidRDefault="00040808" w:rsidP="00106E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040808" w:rsidRDefault="00040808" w:rsidP="00106E4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040808" w:rsidRDefault="00040808" w:rsidP="00106E4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040808" w:rsidRDefault="00040808" w:rsidP="00106E4B">
            <w:pPr>
              <w:jc w:val="center"/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46B" w:themeFill="accent1" w:themeFillTint="99"/>
          </w:tcPr>
          <w:p w:rsidR="00040808" w:rsidRDefault="00040808" w:rsidP="00106E4B">
            <w:pPr>
              <w:jc w:val="center"/>
            </w:pPr>
          </w:p>
        </w:tc>
      </w:tr>
      <w:tr w:rsidR="00761C63" w:rsidTr="00207984">
        <w:trPr>
          <w:trHeight w:val="376"/>
        </w:trPr>
        <w:tc>
          <w:tcPr>
            <w:tcW w:w="115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63" w:rsidRPr="00731B77" w:rsidRDefault="00C01C15" w:rsidP="00106E4B">
            <w:r>
              <w:t>3</w:t>
            </w:r>
            <w:r w:rsidR="00761C63" w:rsidRPr="00731B77">
              <w:t xml:space="preserve"> infecciones por </w:t>
            </w:r>
            <w:r w:rsidR="00731B77" w:rsidRPr="00731B77">
              <w:rPr>
                <w:i/>
              </w:rPr>
              <w:t xml:space="preserve">K. </w:t>
            </w:r>
            <w:proofErr w:type="spellStart"/>
            <w:r w:rsidR="00731B77" w:rsidRPr="00731B77">
              <w:rPr>
                <w:i/>
              </w:rPr>
              <w:t>penumoniae</w:t>
            </w:r>
            <w:proofErr w:type="spellEnd"/>
            <w:r w:rsidR="00761C63" w:rsidRPr="00731B77">
              <w:t xml:space="preserve"> se asociaron a defunción</w:t>
            </w:r>
            <w:r w:rsidR="00FE1F8F">
              <w:t>,</w:t>
            </w:r>
            <w:r w:rsidR="00930FFD">
              <w:t xml:space="preserve"> </w:t>
            </w:r>
            <w:r w:rsidR="00FE1F8F">
              <w:t>49</w:t>
            </w:r>
            <w:r w:rsidR="00545708">
              <w:t xml:space="preserve">% </w:t>
            </w:r>
            <w:r w:rsidR="00545708" w:rsidRPr="00545708">
              <w:rPr>
                <w:i/>
              </w:rPr>
              <w:t xml:space="preserve">K. </w:t>
            </w:r>
            <w:proofErr w:type="spellStart"/>
            <w:r w:rsidR="00545708" w:rsidRPr="00545708">
              <w:rPr>
                <w:i/>
              </w:rPr>
              <w:t>pneumoniae</w:t>
            </w:r>
            <w:proofErr w:type="spellEnd"/>
            <w:r w:rsidR="00545708">
              <w:t xml:space="preserve"> resultaros productoras de BLEE</w:t>
            </w:r>
          </w:p>
          <w:p w:rsidR="00731B77" w:rsidRPr="00731B77" w:rsidRDefault="00C01C15" w:rsidP="00106E4B">
            <w:r>
              <w:t>Ninguna infección</w:t>
            </w:r>
            <w:r w:rsidR="00731B77" w:rsidRPr="00731B77">
              <w:t xml:space="preserve"> por </w:t>
            </w:r>
            <w:r w:rsidR="00731B77" w:rsidRPr="00731B77">
              <w:rPr>
                <w:i/>
              </w:rPr>
              <w:t xml:space="preserve">K. </w:t>
            </w:r>
            <w:proofErr w:type="spellStart"/>
            <w:r w:rsidR="00731B77" w:rsidRPr="00731B77">
              <w:rPr>
                <w:i/>
              </w:rPr>
              <w:t>oxytoca</w:t>
            </w:r>
            <w:proofErr w:type="spellEnd"/>
            <w:r>
              <w:t xml:space="preserve"> se asoció </w:t>
            </w:r>
            <w:r w:rsidR="00731B77" w:rsidRPr="00731B77">
              <w:t>a defunción</w:t>
            </w:r>
          </w:p>
          <w:p w:rsidR="00761C63" w:rsidRDefault="00761C63" w:rsidP="00106E4B">
            <w:r w:rsidRPr="00731B77">
              <w:t xml:space="preserve"> </w:t>
            </w:r>
            <w:r w:rsidR="00C01C15">
              <w:t xml:space="preserve">Los 3 </w:t>
            </w:r>
            <w:r w:rsidRPr="00731B77">
              <w:t>pacientes fueron identificados como IAAS fallecieron</w:t>
            </w:r>
            <w:r>
              <w:t xml:space="preserve"> </w:t>
            </w:r>
          </w:p>
          <w:p w:rsidR="00034D8F" w:rsidRDefault="00034D8F" w:rsidP="00106E4B">
            <w:r>
              <w:t>Nota: Grafico en actualización (Datos incompletos 2025) Comparaciones cuatrimestrales</w:t>
            </w:r>
          </w:p>
        </w:tc>
      </w:tr>
    </w:tbl>
    <w:p w:rsidR="00AF6C4C" w:rsidRDefault="00435140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EA91D25" wp14:editId="48CFFF4A">
            <wp:simplePos x="0" y="0"/>
            <wp:positionH relativeFrom="margin">
              <wp:posOffset>1919605</wp:posOffset>
            </wp:positionH>
            <wp:positionV relativeFrom="paragraph">
              <wp:posOffset>212090</wp:posOffset>
            </wp:positionV>
            <wp:extent cx="5962650" cy="2619375"/>
            <wp:effectExtent l="0" t="0" r="0" b="9525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C4C" w:rsidRDefault="00AF6C4C"/>
    <w:p w:rsidR="00AF6C4C" w:rsidRDefault="00AF6C4C"/>
    <w:p w:rsidR="00AF6C4C" w:rsidRDefault="00AF6C4C"/>
    <w:p w:rsidR="00AF6C4C" w:rsidRDefault="00AF6C4C"/>
    <w:p w:rsidR="00AF6C4C" w:rsidRDefault="00AF6C4C"/>
    <w:p w:rsidR="00C01C15" w:rsidRDefault="00C01C15"/>
    <w:p w:rsidR="00C01C15" w:rsidRDefault="00C01C15"/>
    <w:p w:rsidR="00FC57D1" w:rsidRDefault="00FC57D1"/>
    <w:tbl>
      <w:tblPr>
        <w:tblStyle w:val="Tablaconcuadrcula"/>
        <w:tblW w:w="11247" w:type="dxa"/>
        <w:tblInd w:w="1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709"/>
        <w:gridCol w:w="826"/>
        <w:gridCol w:w="449"/>
        <w:gridCol w:w="701"/>
        <w:gridCol w:w="717"/>
        <w:gridCol w:w="709"/>
        <w:gridCol w:w="492"/>
        <w:gridCol w:w="492"/>
        <w:gridCol w:w="717"/>
        <w:gridCol w:w="818"/>
        <w:gridCol w:w="661"/>
        <w:gridCol w:w="418"/>
        <w:gridCol w:w="706"/>
        <w:gridCol w:w="492"/>
        <w:gridCol w:w="706"/>
      </w:tblGrid>
      <w:tr w:rsidR="00FC57D1" w:rsidRPr="00CE6812" w:rsidTr="00D5400E">
        <w:trPr>
          <w:trHeight w:val="461"/>
        </w:trPr>
        <w:tc>
          <w:tcPr>
            <w:tcW w:w="11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</w:tcPr>
          <w:p w:rsidR="00FC57D1" w:rsidRPr="00CE6812" w:rsidRDefault="00FE1F8F" w:rsidP="00FC5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Porcentaje de S</w:t>
            </w:r>
            <w:r w:rsidR="00FC57D1" w:rsidRPr="00CE6812">
              <w:rPr>
                <w:sz w:val="28"/>
                <w:szCs w:val="28"/>
              </w:rPr>
              <w:t xml:space="preserve">usceptibilidad para </w:t>
            </w:r>
            <w:r w:rsidR="00FC57D1">
              <w:rPr>
                <w:sz w:val="28"/>
                <w:szCs w:val="28"/>
              </w:rPr>
              <w:t xml:space="preserve"> </w:t>
            </w:r>
            <w:proofErr w:type="spellStart"/>
            <w:r w:rsidR="00FC57D1" w:rsidRPr="00FC57D1">
              <w:rPr>
                <w:i/>
                <w:sz w:val="28"/>
                <w:szCs w:val="28"/>
              </w:rPr>
              <w:t>Escherichia</w:t>
            </w:r>
            <w:proofErr w:type="spellEnd"/>
            <w:r w:rsidR="00FC57D1" w:rsidRPr="00FC57D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C57D1" w:rsidRPr="00FC57D1">
              <w:rPr>
                <w:i/>
                <w:sz w:val="28"/>
                <w:szCs w:val="28"/>
              </w:rPr>
              <w:t>coli</w:t>
            </w:r>
            <w:proofErr w:type="spellEnd"/>
            <w:r w:rsidR="00FC57D1">
              <w:rPr>
                <w:sz w:val="28"/>
                <w:szCs w:val="28"/>
              </w:rPr>
              <w:t xml:space="preserve"> </w:t>
            </w:r>
            <w:proofErr w:type="spellStart"/>
            <w:r w:rsidR="00FC57D1">
              <w:rPr>
                <w:i/>
                <w:sz w:val="28"/>
                <w:szCs w:val="28"/>
              </w:rPr>
              <w:t>spp</w:t>
            </w:r>
            <w:proofErr w:type="spellEnd"/>
            <w:r w:rsidR="00FC57D1">
              <w:rPr>
                <w:i/>
                <w:sz w:val="28"/>
                <w:szCs w:val="28"/>
              </w:rPr>
              <w:t>.</w:t>
            </w:r>
          </w:p>
        </w:tc>
      </w:tr>
      <w:tr w:rsidR="00AA0DBE" w:rsidTr="00D5400E">
        <w:trPr>
          <w:cantSplit/>
          <w:trHeight w:val="245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FC57D1" w:rsidRDefault="00AA0DBE" w:rsidP="00106E4B">
            <w:r>
              <w:t>M.O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AA0DBE" w:rsidRDefault="00AA0DBE" w:rsidP="00106E4B"/>
          <w:p w:rsidR="00FC57D1" w:rsidRDefault="00AA0DBE" w:rsidP="00106E4B">
            <w:r>
              <w:t>N°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r>
              <w:t>Ampicilina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proofErr w:type="spellStart"/>
            <w:r>
              <w:t>Piperacilina</w:t>
            </w:r>
            <w:proofErr w:type="spellEnd"/>
            <w:r>
              <w:t>/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r>
              <w:t>Ceftriaxona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proofErr w:type="spellStart"/>
            <w:r>
              <w:t>Ceftazidima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proofErr w:type="spellStart"/>
            <w:r>
              <w:t>Cefepime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AA0DBE" w:rsidP="00106E4B">
            <w:pPr>
              <w:ind w:left="113" w:right="113"/>
            </w:pPr>
            <w:proofErr w:type="spellStart"/>
            <w:r>
              <w:t>C</w:t>
            </w:r>
            <w:r w:rsidR="008B07AA">
              <w:t>efoxitina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r>
              <w:t>Imipenem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r>
              <w:t>Meropenem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r>
              <w:t>Amikacina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proofErr w:type="spellStart"/>
            <w:r>
              <w:t>Gentamicina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proofErr w:type="spellStart"/>
            <w:r>
              <w:t>Colistina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proofErr w:type="spellStart"/>
            <w:r>
              <w:t>Fosfomicina</w:t>
            </w:r>
            <w:proofErr w:type="spellEnd"/>
            <w:r>
              <w:t xml:space="preserve"> 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r>
              <w:t>Tigeciclina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FC57D1" w:rsidRDefault="00FC57D1" w:rsidP="00106E4B">
            <w:pPr>
              <w:ind w:left="113" w:right="113"/>
            </w:pPr>
            <w:proofErr w:type="spellStart"/>
            <w:r>
              <w:t>Ciprofloxacino</w:t>
            </w:r>
            <w:proofErr w:type="spellEnd"/>
          </w:p>
        </w:tc>
      </w:tr>
      <w:tr w:rsidR="00AA0DBE" w:rsidTr="00D5400E">
        <w:trPr>
          <w:trHeight w:val="37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Pr="008D084C" w:rsidRDefault="008B07AA" w:rsidP="00106E4B">
            <w:pPr>
              <w:rPr>
                <w:i/>
              </w:rPr>
            </w:pPr>
            <w:r>
              <w:rPr>
                <w:i/>
              </w:rPr>
              <w:t>E. coli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55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34.5%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42%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67%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71%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91%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100%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69%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A0DBE" w:rsidP="00106E4B">
            <w:pPr>
              <w:jc w:val="center"/>
            </w:pPr>
            <w:r>
              <w:t>93%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FC57D1" w:rsidRDefault="00A346BE" w:rsidP="00106E4B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</w:tcPr>
          <w:p w:rsidR="00FC57D1" w:rsidRDefault="00A346BE" w:rsidP="00106E4B">
            <w:pPr>
              <w:jc w:val="center"/>
            </w:pPr>
            <w:r>
              <w:t>53%</w:t>
            </w:r>
          </w:p>
        </w:tc>
      </w:tr>
      <w:tr w:rsidR="008B07AA" w:rsidTr="00D5400E">
        <w:trPr>
          <w:trHeight w:val="37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8B07AA" w:rsidRDefault="008B07AA" w:rsidP="00106E4B">
            <w:r>
              <w:t>Sin antibiograma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8B07AA" w:rsidRDefault="008B07AA" w:rsidP="00106E4B">
            <w:pPr>
              <w:jc w:val="center"/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8B07AA" w:rsidRDefault="008B07AA" w:rsidP="00106E4B">
            <w:pPr>
              <w:jc w:val="center"/>
            </w:pPr>
          </w:p>
        </w:tc>
        <w:tc>
          <w:tcPr>
            <w:tcW w:w="692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46B" w:themeFill="accent1" w:themeFillTint="99"/>
          </w:tcPr>
          <w:p w:rsidR="008B07AA" w:rsidRDefault="008B07AA" w:rsidP="00106E4B">
            <w:pPr>
              <w:jc w:val="center"/>
            </w:pPr>
          </w:p>
        </w:tc>
      </w:tr>
      <w:tr w:rsidR="00FC57D1" w:rsidTr="00D5400E">
        <w:trPr>
          <w:trHeight w:val="376"/>
        </w:trPr>
        <w:tc>
          <w:tcPr>
            <w:tcW w:w="11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1" w:rsidRDefault="00FC57D1" w:rsidP="00106E4B">
            <w:r>
              <w:t>Nota: Para términos de sensibilidad se sumaron las cepas sensibles más intermedias (S+I)</w:t>
            </w:r>
          </w:p>
          <w:p w:rsidR="00FC57D1" w:rsidRDefault="00061D65" w:rsidP="00106E4B">
            <w:r>
              <w:t xml:space="preserve"> 2 </w:t>
            </w:r>
            <w:r w:rsidR="00FC57D1">
              <w:t xml:space="preserve">infecciones por </w:t>
            </w:r>
            <w:r w:rsidR="008B07AA">
              <w:rPr>
                <w:i/>
              </w:rPr>
              <w:t xml:space="preserve">E. coli </w:t>
            </w:r>
            <w:r w:rsidR="00FC57D1">
              <w:t xml:space="preserve"> se asociaron a defunción</w:t>
            </w:r>
          </w:p>
          <w:p w:rsidR="00BB3535" w:rsidRDefault="00BB3535" w:rsidP="00106E4B">
            <w:r>
              <w:t xml:space="preserve"> </w:t>
            </w:r>
            <w:r w:rsidR="00413E0D">
              <w:t>45</w:t>
            </w:r>
            <w:r>
              <w:t>% de las cepas  fueron portadoras de BLEE</w:t>
            </w:r>
          </w:p>
          <w:p w:rsidR="00034D8F" w:rsidRDefault="00034D8F" w:rsidP="00106E4B">
            <w:r>
              <w:t>Nota: Grafico en actualización (Datos incompletos 2025) Comparaciones cuatrimestrales</w:t>
            </w:r>
          </w:p>
        </w:tc>
      </w:tr>
    </w:tbl>
    <w:p w:rsidR="003C3344" w:rsidRDefault="007A4185"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2359CC9C" wp14:editId="470B4953">
            <wp:simplePos x="0" y="0"/>
            <wp:positionH relativeFrom="margin">
              <wp:posOffset>1633855</wp:posOffset>
            </wp:positionH>
            <wp:positionV relativeFrom="paragraph">
              <wp:posOffset>106680</wp:posOffset>
            </wp:positionV>
            <wp:extent cx="5667375" cy="2531110"/>
            <wp:effectExtent l="0" t="0" r="9525" b="254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344" w:rsidRDefault="003C3344"/>
    <w:p w:rsidR="003C3344" w:rsidRDefault="003C3344"/>
    <w:p w:rsidR="003C3344" w:rsidRDefault="003C3344"/>
    <w:p w:rsidR="003C3344" w:rsidRDefault="003C3344"/>
    <w:p w:rsidR="00467A1F" w:rsidRDefault="00467A1F"/>
    <w:p w:rsidR="00467A1F" w:rsidRDefault="00467A1F"/>
    <w:p w:rsidR="00467A1F" w:rsidRDefault="00467A1F"/>
    <w:p w:rsidR="00467A1F" w:rsidRDefault="00467A1F"/>
    <w:p w:rsidR="00467A1F" w:rsidRDefault="00467A1F"/>
    <w:tbl>
      <w:tblPr>
        <w:tblStyle w:val="Tablaconcuadrcul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584"/>
        <w:gridCol w:w="711"/>
        <w:gridCol w:w="708"/>
        <w:gridCol w:w="709"/>
        <w:gridCol w:w="709"/>
        <w:gridCol w:w="709"/>
        <w:gridCol w:w="567"/>
        <w:gridCol w:w="567"/>
        <w:gridCol w:w="818"/>
        <w:gridCol w:w="873"/>
      </w:tblGrid>
      <w:tr w:rsidR="00467A1F" w:rsidRPr="00CE6812" w:rsidTr="009D79E1">
        <w:trPr>
          <w:trHeight w:val="461"/>
        </w:trPr>
        <w:tc>
          <w:tcPr>
            <w:tcW w:w="8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</w:tcPr>
          <w:p w:rsidR="00467A1F" w:rsidRPr="00467A1F" w:rsidRDefault="00467A1F" w:rsidP="00467A1F">
            <w:pPr>
              <w:jc w:val="center"/>
              <w:rPr>
                <w:i/>
                <w:sz w:val="28"/>
                <w:szCs w:val="28"/>
              </w:rPr>
            </w:pPr>
            <w:r w:rsidRPr="00CE6812">
              <w:rPr>
                <w:sz w:val="28"/>
                <w:szCs w:val="28"/>
              </w:rPr>
              <w:t xml:space="preserve">Porcentaje de susceptibilidad para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06E4B">
              <w:rPr>
                <w:i/>
                <w:sz w:val="28"/>
                <w:szCs w:val="28"/>
              </w:rPr>
              <w:t>Acinetobacter</w:t>
            </w:r>
            <w:proofErr w:type="spellEnd"/>
            <w:r w:rsidR="00106E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06E4B">
              <w:rPr>
                <w:i/>
                <w:sz w:val="28"/>
                <w:szCs w:val="28"/>
              </w:rPr>
              <w:t>baumannii</w:t>
            </w:r>
            <w:proofErr w:type="spellEnd"/>
          </w:p>
        </w:tc>
      </w:tr>
      <w:tr w:rsidR="005D409C" w:rsidTr="009D79E1">
        <w:trPr>
          <w:cantSplit/>
          <w:trHeight w:val="21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9D79E1" w:rsidRDefault="009D79E1" w:rsidP="00106E4B"/>
          <w:p w:rsidR="009D79E1" w:rsidRDefault="009D79E1" w:rsidP="00106E4B"/>
          <w:p w:rsidR="009D79E1" w:rsidRDefault="009D79E1" w:rsidP="00106E4B"/>
          <w:p w:rsidR="009D79E1" w:rsidRDefault="009D79E1" w:rsidP="00106E4B"/>
          <w:p w:rsidR="009D79E1" w:rsidRDefault="009D79E1" w:rsidP="00106E4B"/>
          <w:p w:rsidR="009D79E1" w:rsidRDefault="009D79E1" w:rsidP="00106E4B"/>
          <w:p w:rsidR="009D79E1" w:rsidRDefault="009D79E1" w:rsidP="00106E4B"/>
          <w:p w:rsidR="005D409C" w:rsidRDefault="009D79E1" w:rsidP="00106E4B">
            <w:r>
              <w:t>M.O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9D79E1" w:rsidRDefault="009D79E1" w:rsidP="00106E4B"/>
          <w:p w:rsidR="009D79E1" w:rsidRDefault="009D79E1" w:rsidP="00106E4B"/>
          <w:p w:rsidR="009D79E1" w:rsidRDefault="009D79E1" w:rsidP="00106E4B"/>
          <w:p w:rsidR="009D79E1" w:rsidRDefault="009D79E1" w:rsidP="00106E4B"/>
          <w:p w:rsidR="009D79E1" w:rsidRDefault="009D79E1" w:rsidP="00106E4B"/>
          <w:p w:rsidR="009D79E1" w:rsidRDefault="009D79E1" w:rsidP="00106E4B"/>
          <w:p w:rsidR="009D79E1" w:rsidRDefault="009D79E1" w:rsidP="00106E4B"/>
          <w:p w:rsidR="005D409C" w:rsidRDefault="009D79E1" w:rsidP="00106E4B">
            <w:r>
              <w:t>N°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106E4B">
            <w:pPr>
              <w:ind w:left="113" w:right="113"/>
            </w:pPr>
            <w:r>
              <w:t>Ampicilina/</w:t>
            </w:r>
            <w:proofErr w:type="spellStart"/>
            <w:r>
              <w:t>sulbactam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106E4B">
            <w:pPr>
              <w:ind w:left="113" w:right="113"/>
            </w:pPr>
            <w:proofErr w:type="spellStart"/>
            <w:r>
              <w:t>Ceftazidima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6F0C57">
            <w:pPr>
              <w:ind w:left="113" w:right="113"/>
            </w:pPr>
            <w:proofErr w:type="spellStart"/>
            <w:r>
              <w:t>Cefepime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106E4B">
            <w:pPr>
              <w:ind w:left="113" w:right="113"/>
            </w:pPr>
            <w:proofErr w:type="spellStart"/>
            <w:r>
              <w:t>Imipenem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106E4B">
            <w:pPr>
              <w:ind w:left="113" w:right="113"/>
            </w:pPr>
            <w:proofErr w:type="spellStart"/>
            <w:r>
              <w:t>Meropenem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106E4B">
            <w:pPr>
              <w:ind w:left="113" w:right="113"/>
            </w:pPr>
            <w:proofErr w:type="spellStart"/>
            <w:r>
              <w:t>Fosfomicina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106E4B">
            <w:pPr>
              <w:ind w:left="113" w:right="113"/>
            </w:pPr>
            <w:proofErr w:type="spellStart"/>
            <w:r>
              <w:t>Colistina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106E4B">
            <w:pPr>
              <w:ind w:left="113" w:right="113"/>
            </w:pPr>
            <w:proofErr w:type="spellStart"/>
            <w:r>
              <w:t>Gentamicina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5D409C" w:rsidRDefault="005D409C" w:rsidP="00106E4B">
            <w:pPr>
              <w:ind w:left="113" w:right="113"/>
            </w:pPr>
            <w:proofErr w:type="spellStart"/>
            <w:r>
              <w:t>Amikacina</w:t>
            </w:r>
            <w:proofErr w:type="spellEnd"/>
          </w:p>
        </w:tc>
      </w:tr>
      <w:tr w:rsidR="005D409C" w:rsidTr="009D79E1">
        <w:trPr>
          <w:trHeight w:val="37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Pr="006F0C57" w:rsidRDefault="005D409C" w:rsidP="006F0C57">
            <w:pPr>
              <w:rPr>
                <w:i/>
              </w:rPr>
            </w:pPr>
            <w:r w:rsidRPr="006F0C57">
              <w:rPr>
                <w:i/>
              </w:rPr>
              <w:t>A.</w:t>
            </w:r>
            <w:r>
              <w:rPr>
                <w:i/>
              </w:rPr>
              <w:t xml:space="preserve"> </w:t>
            </w:r>
            <w:proofErr w:type="spellStart"/>
            <w:r w:rsidRPr="006F0C57">
              <w:rPr>
                <w:i/>
              </w:rPr>
              <w:t>baumannii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106E4B">
            <w:pPr>
              <w:jc w:val="center"/>
            </w:pPr>
            <w:r>
              <w:t>21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D937B2">
            <w:r>
              <w:t>86%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D937B2">
            <w:r>
              <w:t>81%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D937B2">
            <w:r>
              <w:t>86%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106E4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D937B2">
            <w:r>
              <w:t>76%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106E4B">
            <w:pPr>
              <w:jc w:val="center"/>
            </w:pPr>
            <w:r>
              <w:t>0%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9D79E1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D937B2">
            <w: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</w:tcPr>
          <w:p w:rsidR="005D409C" w:rsidRDefault="009D79E1" w:rsidP="00D937B2">
            <w:r>
              <w:t>90.5%</w:t>
            </w:r>
          </w:p>
        </w:tc>
      </w:tr>
      <w:tr w:rsidR="005D409C" w:rsidTr="009D79E1">
        <w:trPr>
          <w:trHeight w:val="37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5D409C" w:rsidRDefault="005D409C" w:rsidP="00106E4B">
            <w:r>
              <w:t>Sin antibiograma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5D409C" w:rsidRDefault="008D04DE" w:rsidP="005D409C">
            <w:pPr>
              <w:jc w:val="center"/>
            </w:pPr>
            <w: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5D409C" w:rsidRDefault="005D409C" w:rsidP="005D409C"/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B46B" w:themeFill="accent1" w:themeFillTint="99"/>
          </w:tcPr>
          <w:p w:rsidR="005D409C" w:rsidRDefault="005D409C" w:rsidP="00106E4B">
            <w:pPr>
              <w:jc w:val="center"/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46B" w:themeFill="accent1" w:themeFillTint="99"/>
          </w:tcPr>
          <w:p w:rsidR="005D409C" w:rsidRDefault="005D409C" w:rsidP="00106E4B">
            <w:pPr>
              <w:jc w:val="center"/>
            </w:pPr>
          </w:p>
        </w:tc>
      </w:tr>
      <w:tr w:rsidR="00467A1F" w:rsidTr="009D79E1">
        <w:trPr>
          <w:trHeight w:val="376"/>
        </w:trPr>
        <w:tc>
          <w:tcPr>
            <w:tcW w:w="8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Default="00467A1F" w:rsidP="00106E4B">
            <w:r>
              <w:t>Nota: Para términos de sensibilidad se sumaron las cepas sensibles más intermedias (S+I)</w:t>
            </w:r>
          </w:p>
          <w:p w:rsidR="00C75FB3" w:rsidRDefault="002A543C" w:rsidP="009B43F0">
            <w:r>
              <w:t>Una</w:t>
            </w:r>
            <w:r w:rsidR="009B43F0">
              <w:t xml:space="preserve"> infección</w:t>
            </w:r>
            <w:r w:rsidR="00467A1F">
              <w:t xml:space="preserve"> por </w:t>
            </w:r>
            <w:proofErr w:type="spellStart"/>
            <w:r w:rsidR="00C75FB3">
              <w:rPr>
                <w:i/>
              </w:rPr>
              <w:t>Acinetobacter</w:t>
            </w:r>
            <w:proofErr w:type="spellEnd"/>
            <w:r w:rsidR="00C75FB3">
              <w:rPr>
                <w:i/>
              </w:rPr>
              <w:t xml:space="preserve"> </w:t>
            </w:r>
            <w:proofErr w:type="spellStart"/>
            <w:r w:rsidR="00C75FB3">
              <w:rPr>
                <w:i/>
              </w:rPr>
              <w:t>baumannii</w:t>
            </w:r>
            <w:proofErr w:type="spellEnd"/>
            <w:r w:rsidR="00467A1F">
              <w:rPr>
                <w:i/>
              </w:rPr>
              <w:t xml:space="preserve"> </w:t>
            </w:r>
            <w:r w:rsidR="009B43F0">
              <w:t xml:space="preserve"> fue asociada</w:t>
            </w:r>
            <w:r w:rsidR="00467A1F">
              <w:t xml:space="preserve"> a defunción</w:t>
            </w:r>
            <w:r w:rsidR="00674A0D">
              <w:t xml:space="preserve"> la cual NO fue asociada a IAAS.</w:t>
            </w:r>
            <w:r w:rsidR="004D51E7">
              <w:t xml:space="preserve"> </w:t>
            </w:r>
            <w:r w:rsidR="004D51E7">
              <w:t>Nota: Grafico en actualización (Datos incompletos 2025) Comparaciones cuatrimestrales</w:t>
            </w:r>
            <w:r w:rsidR="004D51E7">
              <w:t>.</w:t>
            </w:r>
          </w:p>
        </w:tc>
      </w:tr>
    </w:tbl>
    <w:p w:rsidR="00467A1F" w:rsidRDefault="00387AD2"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20117E6E" wp14:editId="5A2BFA9B">
            <wp:simplePos x="0" y="0"/>
            <wp:positionH relativeFrom="margin">
              <wp:posOffset>1509395</wp:posOffset>
            </wp:positionH>
            <wp:positionV relativeFrom="paragraph">
              <wp:posOffset>201930</wp:posOffset>
            </wp:positionV>
            <wp:extent cx="5495925" cy="3067050"/>
            <wp:effectExtent l="0" t="0" r="9525" b="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344" w:rsidRDefault="003C3344"/>
    <w:p w:rsidR="009E5FCA" w:rsidRDefault="009E5FCA"/>
    <w:p w:rsidR="009E5FCA" w:rsidRDefault="009E5FCA"/>
    <w:p w:rsidR="009E5FCA" w:rsidRDefault="009E5FCA"/>
    <w:p w:rsidR="009E5FCA" w:rsidRDefault="009E5FCA"/>
    <w:p w:rsidR="009E5FCA" w:rsidRDefault="009E5FCA"/>
    <w:p w:rsidR="009E5FCA" w:rsidRDefault="009E5FCA"/>
    <w:p w:rsidR="009E5FCA" w:rsidRDefault="009E5FCA"/>
    <w:tbl>
      <w:tblPr>
        <w:tblStyle w:val="Tablaconcuadrcula"/>
        <w:tblpPr w:leftFromText="141" w:rightFromText="141" w:vertAnchor="text" w:horzAnchor="margin" w:tblpXSpec="center" w:tblpY="554"/>
        <w:tblOverlap w:val="nev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1842"/>
        <w:gridCol w:w="4820"/>
      </w:tblGrid>
      <w:tr w:rsidR="00EB2918" w:rsidRPr="00CE6812" w:rsidTr="006E546D">
        <w:trPr>
          <w:trHeight w:val="461"/>
        </w:trPr>
        <w:tc>
          <w:tcPr>
            <w:tcW w:w="11199" w:type="dxa"/>
            <w:gridSpan w:val="4"/>
            <w:shd w:val="clear" w:color="auto" w:fill="CCDDEA" w:themeFill="background2"/>
          </w:tcPr>
          <w:p w:rsidR="00EB2918" w:rsidRDefault="00EB2918" w:rsidP="00EB2918">
            <w:pPr>
              <w:jc w:val="center"/>
              <w:rPr>
                <w:sz w:val="28"/>
                <w:szCs w:val="28"/>
              </w:rPr>
            </w:pPr>
            <w:r w:rsidRPr="00CE6812">
              <w:rPr>
                <w:sz w:val="28"/>
                <w:szCs w:val="28"/>
              </w:rPr>
              <w:lastRenderedPageBreak/>
              <w:t xml:space="preserve">Porcentaje de susceptibilidad para </w:t>
            </w:r>
          </w:p>
          <w:p w:rsidR="00EB2918" w:rsidRPr="00CE6812" w:rsidRDefault="00EB2918" w:rsidP="00EB29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06E4B">
              <w:rPr>
                <w:i/>
                <w:sz w:val="28"/>
                <w:szCs w:val="28"/>
              </w:rPr>
              <w:t>Stenotrophomonas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maltophilia</w:t>
            </w:r>
            <w:proofErr w:type="spellEnd"/>
          </w:p>
        </w:tc>
      </w:tr>
      <w:tr w:rsidR="00EB2918" w:rsidTr="006E546D">
        <w:trPr>
          <w:cantSplit/>
          <w:trHeight w:val="1712"/>
        </w:trPr>
        <w:tc>
          <w:tcPr>
            <w:tcW w:w="3828" w:type="dxa"/>
            <w:shd w:val="clear" w:color="auto" w:fill="F7CD9D" w:themeFill="accent1" w:themeFillTint="66"/>
          </w:tcPr>
          <w:p w:rsidR="00477765" w:rsidRDefault="00477765" w:rsidP="00EB2918">
            <w:pPr>
              <w:jc w:val="center"/>
            </w:pPr>
          </w:p>
          <w:p w:rsidR="00477765" w:rsidRDefault="00477765" w:rsidP="00EB2918">
            <w:pPr>
              <w:jc w:val="center"/>
            </w:pPr>
          </w:p>
          <w:p w:rsidR="00477765" w:rsidRDefault="00477765" w:rsidP="00EB2918">
            <w:pPr>
              <w:jc w:val="center"/>
            </w:pPr>
          </w:p>
          <w:p w:rsidR="00477765" w:rsidRDefault="00477765" w:rsidP="00EB2918">
            <w:pPr>
              <w:jc w:val="center"/>
            </w:pPr>
          </w:p>
          <w:p w:rsidR="00477765" w:rsidRDefault="00477765" w:rsidP="00EB2918">
            <w:pPr>
              <w:jc w:val="center"/>
            </w:pPr>
          </w:p>
          <w:p w:rsidR="00EB2918" w:rsidRDefault="00477765" w:rsidP="00477765">
            <w:r>
              <w:t>M.O</w:t>
            </w:r>
          </w:p>
        </w:tc>
        <w:tc>
          <w:tcPr>
            <w:tcW w:w="709" w:type="dxa"/>
            <w:shd w:val="clear" w:color="auto" w:fill="F7CD9D" w:themeFill="accent1" w:themeFillTint="66"/>
          </w:tcPr>
          <w:p w:rsidR="00477765" w:rsidRDefault="00477765" w:rsidP="00EB2918">
            <w:pPr>
              <w:jc w:val="center"/>
            </w:pPr>
          </w:p>
          <w:p w:rsidR="00477765" w:rsidRDefault="00477765" w:rsidP="00EB2918">
            <w:pPr>
              <w:jc w:val="center"/>
            </w:pPr>
          </w:p>
          <w:p w:rsidR="00477765" w:rsidRDefault="00477765" w:rsidP="00EB2918">
            <w:pPr>
              <w:jc w:val="center"/>
            </w:pPr>
          </w:p>
          <w:p w:rsidR="00477765" w:rsidRDefault="00477765" w:rsidP="00EB2918">
            <w:pPr>
              <w:jc w:val="center"/>
            </w:pPr>
          </w:p>
          <w:p w:rsidR="00477765" w:rsidRDefault="00477765" w:rsidP="00EB2918">
            <w:pPr>
              <w:jc w:val="center"/>
            </w:pPr>
          </w:p>
          <w:p w:rsidR="00EB2918" w:rsidRDefault="00477765" w:rsidP="00EB2918">
            <w:pPr>
              <w:jc w:val="center"/>
            </w:pPr>
            <w:r>
              <w:t>N°</w:t>
            </w:r>
          </w:p>
        </w:tc>
        <w:tc>
          <w:tcPr>
            <w:tcW w:w="1842" w:type="dxa"/>
            <w:shd w:val="clear" w:color="auto" w:fill="F7CD9D" w:themeFill="accent1" w:themeFillTint="66"/>
          </w:tcPr>
          <w:p w:rsidR="00EB2918" w:rsidRDefault="00EB2918" w:rsidP="00EB2918">
            <w:pPr>
              <w:jc w:val="center"/>
            </w:pPr>
          </w:p>
        </w:tc>
        <w:tc>
          <w:tcPr>
            <w:tcW w:w="4820" w:type="dxa"/>
            <w:shd w:val="clear" w:color="auto" w:fill="F7CD9D" w:themeFill="accent1" w:themeFillTint="66"/>
            <w:textDirection w:val="btLr"/>
          </w:tcPr>
          <w:p w:rsidR="006E546D" w:rsidRDefault="006E546D" w:rsidP="00EB2918">
            <w:pPr>
              <w:ind w:left="113" w:right="113"/>
            </w:pPr>
            <w:proofErr w:type="spellStart"/>
            <w:r>
              <w:t>Trimetoprim</w:t>
            </w:r>
            <w:proofErr w:type="spellEnd"/>
            <w:r w:rsidR="00764FEE">
              <w:t>/</w:t>
            </w:r>
          </w:p>
          <w:p w:rsidR="00EB2918" w:rsidRDefault="00764FEE" w:rsidP="00EB2918">
            <w:pPr>
              <w:ind w:left="113" w:right="113"/>
            </w:pPr>
            <w:proofErr w:type="spellStart"/>
            <w:r>
              <w:t>sulfametoxazol</w:t>
            </w:r>
            <w:proofErr w:type="spellEnd"/>
          </w:p>
        </w:tc>
      </w:tr>
      <w:tr w:rsidR="00EB2918" w:rsidTr="006E546D">
        <w:trPr>
          <w:trHeight w:val="376"/>
        </w:trPr>
        <w:tc>
          <w:tcPr>
            <w:tcW w:w="3828" w:type="dxa"/>
            <w:shd w:val="clear" w:color="auto" w:fill="F7CD9D" w:themeFill="accent1" w:themeFillTint="66"/>
          </w:tcPr>
          <w:p w:rsidR="00EB2918" w:rsidRPr="006F0C57" w:rsidRDefault="001025A7" w:rsidP="00EB2918">
            <w:pPr>
              <w:rPr>
                <w:i/>
              </w:rPr>
            </w:pPr>
            <w:proofErr w:type="spellStart"/>
            <w:r>
              <w:rPr>
                <w:i/>
              </w:rPr>
              <w:t>St</w:t>
            </w:r>
            <w:r w:rsidR="00106E4B">
              <w:rPr>
                <w:i/>
              </w:rPr>
              <w:t>enotrophomonas</w:t>
            </w:r>
            <w:proofErr w:type="spellEnd"/>
            <w:r w:rsidR="00EB2918">
              <w:rPr>
                <w:i/>
              </w:rPr>
              <w:t xml:space="preserve"> </w:t>
            </w:r>
            <w:proofErr w:type="spellStart"/>
            <w:r w:rsidR="00EB2918">
              <w:rPr>
                <w:i/>
              </w:rPr>
              <w:t>maltophilia</w:t>
            </w:r>
            <w:proofErr w:type="spellEnd"/>
          </w:p>
        </w:tc>
        <w:tc>
          <w:tcPr>
            <w:tcW w:w="709" w:type="dxa"/>
            <w:shd w:val="clear" w:color="auto" w:fill="F7CD9D" w:themeFill="accent1" w:themeFillTint="66"/>
          </w:tcPr>
          <w:p w:rsidR="00EB2918" w:rsidRDefault="00477765" w:rsidP="00EB2918">
            <w:pPr>
              <w:jc w:val="center"/>
            </w:pPr>
            <w:r>
              <w:t>28</w:t>
            </w:r>
          </w:p>
        </w:tc>
        <w:tc>
          <w:tcPr>
            <w:tcW w:w="1842" w:type="dxa"/>
            <w:shd w:val="clear" w:color="auto" w:fill="F7CD9D" w:themeFill="accent1" w:themeFillTint="66"/>
          </w:tcPr>
          <w:p w:rsidR="00EB2918" w:rsidRDefault="00EB2918" w:rsidP="00EB2918">
            <w:pPr>
              <w:jc w:val="center"/>
            </w:pPr>
          </w:p>
        </w:tc>
        <w:tc>
          <w:tcPr>
            <w:tcW w:w="4820" w:type="dxa"/>
            <w:shd w:val="clear" w:color="auto" w:fill="F7CD9D" w:themeFill="accent1" w:themeFillTint="66"/>
          </w:tcPr>
          <w:p w:rsidR="00EB2918" w:rsidRDefault="00477765" w:rsidP="00477765">
            <w:r>
              <w:t xml:space="preserve">   </w:t>
            </w:r>
            <w:r w:rsidR="004F0C29">
              <w:t>0</w:t>
            </w:r>
            <w:r>
              <w:t>%</w:t>
            </w:r>
          </w:p>
        </w:tc>
      </w:tr>
      <w:tr w:rsidR="00EB2918" w:rsidTr="006E546D">
        <w:trPr>
          <w:trHeight w:val="376"/>
        </w:trPr>
        <w:tc>
          <w:tcPr>
            <w:tcW w:w="3828" w:type="dxa"/>
            <w:shd w:val="clear" w:color="auto" w:fill="F3B46B" w:themeFill="accent1" w:themeFillTint="99"/>
          </w:tcPr>
          <w:p w:rsidR="00EB2918" w:rsidRDefault="00EB2918" w:rsidP="00EB2918">
            <w:r>
              <w:t>Sin antibiograma</w:t>
            </w:r>
          </w:p>
        </w:tc>
        <w:tc>
          <w:tcPr>
            <w:tcW w:w="709" w:type="dxa"/>
            <w:shd w:val="clear" w:color="auto" w:fill="F3B46B" w:themeFill="accent1" w:themeFillTint="99"/>
          </w:tcPr>
          <w:p w:rsidR="00EB2918" w:rsidRDefault="00EB2918" w:rsidP="006E546D"/>
        </w:tc>
        <w:tc>
          <w:tcPr>
            <w:tcW w:w="1842" w:type="dxa"/>
            <w:shd w:val="clear" w:color="auto" w:fill="F3B46B" w:themeFill="accent1" w:themeFillTint="99"/>
          </w:tcPr>
          <w:p w:rsidR="00EB2918" w:rsidRDefault="00EB2918" w:rsidP="00EB2918">
            <w:pPr>
              <w:jc w:val="center"/>
            </w:pPr>
          </w:p>
        </w:tc>
        <w:tc>
          <w:tcPr>
            <w:tcW w:w="4820" w:type="dxa"/>
            <w:shd w:val="clear" w:color="auto" w:fill="F3B46B" w:themeFill="accent1" w:themeFillTint="99"/>
          </w:tcPr>
          <w:p w:rsidR="00EB2918" w:rsidRDefault="00EB2918" w:rsidP="00EB2918"/>
        </w:tc>
      </w:tr>
      <w:tr w:rsidR="00EB2918" w:rsidTr="006E546D">
        <w:trPr>
          <w:trHeight w:val="376"/>
        </w:trPr>
        <w:tc>
          <w:tcPr>
            <w:tcW w:w="11199" w:type="dxa"/>
            <w:gridSpan w:val="4"/>
          </w:tcPr>
          <w:p w:rsidR="00EB2918" w:rsidRDefault="00EB2918" w:rsidP="00EB2918">
            <w:r>
              <w:t>Nota: Para términos de sensibilidad se sumaron las cepas sensibles más intermedias (S+I)</w:t>
            </w:r>
          </w:p>
          <w:p w:rsidR="00EB2918" w:rsidRDefault="00EB2918" w:rsidP="00EB2918">
            <w:r>
              <w:t xml:space="preserve"> </w:t>
            </w:r>
            <w:r w:rsidR="004E7E2F">
              <w:t xml:space="preserve">3 </w:t>
            </w:r>
            <w:r>
              <w:t xml:space="preserve">aislamientos  por </w:t>
            </w:r>
            <w:r>
              <w:rPr>
                <w:i/>
              </w:rPr>
              <w:t xml:space="preserve">S. </w:t>
            </w:r>
            <w:proofErr w:type="spellStart"/>
            <w:r>
              <w:rPr>
                <w:i/>
              </w:rPr>
              <w:t>maltophilia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se asociaron a defunción</w:t>
            </w:r>
          </w:p>
        </w:tc>
      </w:tr>
    </w:tbl>
    <w:p w:rsidR="009E5FCA" w:rsidRDefault="009E5FCA"/>
    <w:p w:rsidR="009E5FCA" w:rsidRDefault="004D51E7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52F3BFE9" wp14:editId="6C163A23">
            <wp:simplePos x="0" y="0"/>
            <wp:positionH relativeFrom="margin">
              <wp:posOffset>1081405</wp:posOffset>
            </wp:positionH>
            <wp:positionV relativeFrom="paragraph">
              <wp:posOffset>2708275</wp:posOffset>
            </wp:positionV>
            <wp:extent cx="6772275" cy="3095625"/>
            <wp:effectExtent l="0" t="0" r="9525" b="9525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276">
        <w:br w:type="textWrapping" w:clear="all"/>
      </w:r>
    </w:p>
    <w:p w:rsidR="009E5FCA" w:rsidRDefault="009E5FCA"/>
    <w:p w:rsidR="009E5FCA" w:rsidRDefault="009E5FCA"/>
    <w:p w:rsidR="009E5FCA" w:rsidRDefault="009E5FCA"/>
    <w:p w:rsidR="009E5FCA" w:rsidRDefault="009E5FCA"/>
    <w:p w:rsidR="009E5FCA" w:rsidRDefault="009E5FCA"/>
    <w:p w:rsidR="009E5FCA" w:rsidRDefault="009E5FCA"/>
    <w:p w:rsidR="009E5FCA" w:rsidRDefault="009E5FCA"/>
    <w:p w:rsidR="009E5FCA" w:rsidRDefault="009E5FCA"/>
    <w:p w:rsidR="009E5FCA" w:rsidRDefault="009E5FCA"/>
    <w:p w:rsidR="00171994" w:rsidRDefault="00171994"/>
    <w:p w:rsidR="009E5FCA" w:rsidRDefault="009E5FCA"/>
    <w:p w:rsidR="009E5FCA" w:rsidRDefault="00106E4B" w:rsidP="00764FEE">
      <w:pPr>
        <w:jc w:val="center"/>
        <w:rPr>
          <w:b/>
          <w:sz w:val="28"/>
        </w:rPr>
      </w:pPr>
      <w:r>
        <w:rPr>
          <w:b/>
          <w:sz w:val="28"/>
        </w:rPr>
        <w:t>ANÁ</w:t>
      </w:r>
      <w:r w:rsidR="00764FEE" w:rsidRPr="00467920">
        <w:rPr>
          <w:b/>
          <w:sz w:val="28"/>
        </w:rPr>
        <w:t>LISIS DE LAS BACTERIAS RESTA</w:t>
      </w:r>
      <w:r>
        <w:rPr>
          <w:b/>
          <w:sz w:val="28"/>
        </w:rPr>
        <w:t>NTES CON IMPORTANCIA EN PEDIATRÍ</w:t>
      </w:r>
      <w:r w:rsidR="00764FEE" w:rsidRPr="00467920">
        <w:rPr>
          <w:b/>
          <w:sz w:val="28"/>
        </w:rPr>
        <w:t>A</w:t>
      </w:r>
    </w:p>
    <w:p w:rsidR="00171994" w:rsidRPr="00467920" w:rsidRDefault="00171994" w:rsidP="00764FEE">
      <w:pPr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page" w:tblpX="2926" w:tblpY="4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691"/>
        <w:gridCol w:w="905"/>
        <w:gridCol w:w="723"/>
        <w:gridCol w:w="723"/>
        <w:gridCol w:w="724"/>
        <w:gridCol w:w="1044"/>
        <w:gridCol w:w="767"/>
        <w:gridCol w:w="3023"/>
      </w:tblGrid>
      <w:tr w:rsidR="0089120E" w:rsidRPr="00CE6812" w:rsidTr="0089120E">
        <w:trPr>
          <w:gridAfter w:val="1"/>
          <w:wAfter w:w="3023" w:type="dxa"/>
          <w:trHeight w:val="261"/>
        </w:trPr>
        <w:tc>
          <w:tcPr>
            <w:tcW w:w="10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</w:tcPr>
          <w:p w:rsidR="0089120E" w:rsidRPr="00467A1F" w:rsidRDefault="0089120E" w:rsidP="0089120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Porcentaje de S</w:t>
            </w:r>
            <w:r w:rsidRPr="00CE6812">
              <w:rPr>
                <w:sz w:val="28"/>
                <w:szCs w:val="28"/>
              </w:rPr>
              <w:t xml:space="preserve">usceptibilidad para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Shigella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9120E" w:rsidTr="0089120E">
        <w:trPr>
          <w:cantSplit/>
          <w:trHeight w:val="1376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>
            <w:r>
              <w:t>M.O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/>
          <w:p w:rsidR="0089120E" w:rsidRDefault="0089120E" w:rsidP="0089120E">
            <w:pPr>
              <w:jc w:val="center"/>
            </w:pPr>
            <w:r>
              <w:t>N°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89120E" w:rsidRDefault="0089120E" w:rsidP="0089120E">
            <w:pPr>
              <w:ind w:left="113" w:right="113"/>
            </w:pPr>
            <w:proofErr w:type="spellStart"/>
            <w:r>
              <w:t>Ceftriaxona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89120E" w:rsidRDefault="0089120E" w:rsidP="0089120E">
            <w:pPr>
              <w:ind w:left="113" w:right="113"/>
            </w:pPr>
            <w:proofErr w:type="spellStart"/>
            <w:r>
              <w:t>Cefixima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89120E" w:rsidRDefault="0089120E" w:rsidP="0089120E">
            <w:pPr>
              <w:ind w:left="113" w:right="113"/>
            </w:pPr>
            <w:proofErr w:type="spellStart"/>
            <w:r>
              <w:t>Azitromicina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89120E" w:rsidRDefault="0089120E" w:rsidP="0089120E">
            <w:pPr>
              <w:ind w:left="113" w:right="113"/>
            </w:pPr>
            <w:proofErr w:type="spellStart"/>
            <w:r>
              <w:t>Ciprofloxacina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89120E" w:rsidRDefault="0089120E" w:rsidP="0089120E">
            <w:pPr>
              <w:ind w:left="113" w:right="113"/>
            </w:pPr>
            <w:proofErr w:type="spellStart"/>
            <w:r>
              <w:t>Trimetoprim</w:t>
            </w:r>
            <w:proofErr w:type="spellEnd"/>
            <w:r>
              <w:t xml:space="preserve"> / </w:t>
            </w:r>
          </w:p>
          <w:p w:rsidR="0089120E" w:rsidRDefault="0089120E" w:rsidP="0089120E">
            <w:pPr>
              <w:ind w:left="113" w:right="113"/>
            </w:pPr>
            <w:proofErr w:type="spellStart"/>
            <w:r>
              <w:t>sulfametoxazol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  <w:textDirection w:val="btLr"/>
          </w:tcPr>
          <w:p w:rsidR="0089120E" w:rsidRDefault="0089120E" w:rsidP="0089120E">
            <w:pPr>
              <w:ind w:left="113" w:right="113"/>
            </w:pPr>
            <w:proofErr w:type="spellStart"/>
            <w:r>
              <w:t>Cloramfenicol</w:t>
            </w:r>
            <w:proofErr w:type="spellEnd"/>
          </w:p>
        </w:tc>
        <w:tc>
          <w:tcPr>
            <w:tcW w:w="302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9120E" w:rsidRDefault="0089120E" w:rsidP="0089120E">
            <w:pPr>
              <w:ind w:left="113" w:right="113"/>
            </w:pPr>
          </w:p>
        </w:tc>
      </w:tr>
      <w:tr w:rsidR="0089120E" w:rsidTr="0089120E">
        <w:trPr>
          <w:trHeight w:val="31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Pr="006F0C57" w:rsidRDefault="0089120E" w:rsidP="0089120E">
            <w:pPr>
              <w:rPr>
                <w:i/>
              </w:rPr>
            </w:pPr>
            <w:proofErr w:type="spellStart"/>
            <w:r>
              <w:rPr>
                <w:i/>
              </w:rPr>
              <w:t>Shigella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group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>
            <w:pPr>
              <w:jc w:val="center"/>
            </w:pPr>
            <w:r>
              <w:t>100%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>
            <w:pPr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>
            <w:pPr>
              <w:tabs>
                <w:tab w:val="left" w:pos="210"/>
              </w:tabs>
            </w:pPr>
            <w:r>
              <w:tab/>
              <w:t>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>
            <w:pPr>
              <w:jc w:val="center"/>
            </w:pPr>
            <w: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D9D" w:themeFill="accent1" w:themeFillTint="66"/>
          </w:tcPr>
          <w:p w:rsidR="0089120E" w:rsidRDefault="0089120E" w:rsidP="0089120E">
            <w:pPr>
              <w:jc w:val="center"/>
            </w:pPr>
            <w:r>
              <w:t>-</w:t>
            </w:r>
          </w:p>
        </w:tc>
        <w:tc>
          <w:tcPr>
            <w:tcW w:w="30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120E" w:rsidRDefault="0089120E" w:rsidP="0089120E">
            <w:pPr>
              <w:jc w:val="center"/>
            </w:pPr>
          </w:p>
        </w:tc>
      </w:tr>
      <w:tr w:rsidR="0089120E" w:rsidTr="0089120E">
        <w:trPr>
          <w:gridAfter w:val="1"/>
          <w:wAfter w:w="3023" w:type="dxa"/>
          <w:trHeight w:val="32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</w:tcBorders>
            <w:shd w:val="clear" w:color="auto" w:fill="F3B46B" w:themeFill="accent1" w:themeFillTint="99"/>
          </w:tcPr>
          <w:p w:rsidR="0089120E" w:rsidRPr="00472765" w:rsidRDefault="0089120E" w:rsidP="0089120E">
            <w:pPr>
              <w:rPr>
                <w:i/>
              </w:rPr>
            </w:pPr>
            <w:proofErr w:type="spellStart"/>
            <w:r w:rsidRPr="00472765">
              <w:rPr>
                <w:i/>
              </w:rPr>
              <w:t>Shigella</w:t>
            </w:r>
            <w:proofErr w:type="spellEnd"/>
            <w:r w:rsidRPr="00472765">
              <w:rPr>
                <w:i/>
              </w:rPr>
              <w:t xml:space="preserve"> </w:t>
            </w:r>
            <w:proofErr w:type="spellStart"/>
            <w:r w:rsidRPr="00472765">
              <w:rPr>
                <w:i/>
              </w:rPr>
              <w:t>so</w:t>
            </w:r>
            <w:r>
              <w:rPr>
                <w:i/>
              </w:rPr>
              <w:t>nnei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3B46B" w:themeFill="accent1" w:themeFillTint="99"/>
          </w:tcPr>
          <w:p w:rsidR="0089120E" w:rsidRDefault="0089120E" w:rsidP="0089120E">
            <w:pPr>
              <w:jc w:val="center"/>
            </w:pPr>
            <w:r>
              <w:t>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3B46B" w:themeFill="accent1" w:themeFillTint="99"/>
          </w:tcPr>
          <w:p w:rsidR="0089120E" w:rsidRDefault="0089120E" w:rsidP="0089120E"/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3B46B" w:themeFill="accent1" w:themeFillTint="99"/>
          </w:tcPr>
          <w:p w:rsidR="0089120E" w:rsidRDefault="0089120E" w:rsidP="0089120E">
            <w:pPr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F3B46B" w:themeFill="accent1" w:themeFillTint="99"/>
          </w:tcPr>
          <w:p w:rsidR="0089120E" w:rsidRDefault="0089120E" w:rsidP="0089120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3B46B" w:themeFill="accent1" w:themeFillTint="99"/>
          </w:tcPr>
          <w:p w:rsidR="0089120E" w:rsidRDefault="0089120E" w:rsidP="0089120E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F3B46B" w:themeFill="accent1" w:themeFillTint="99"/>
          </w:tcPr>
          <w:p w:rsidR="0089120E" w:rsidRDefault="0089120E" w:rsidP="0089120E">
            <w:pPr>
              <w:jc w:val="center"/>
            </w:pPr>
          </w:p>
        </w:tc>
      </w:tr>
      <w:tr w:rsidR="0089120E" w:rsidTr="0089120E">
        <w:trPr>
          <w:gridAfter w:val="1"/>
          <w:wAfter w:w="3023" w:type="dxa"/>
          <w:trHeight w:val="740"/>
        </w:trPr>
        <w:tc>
          <w:tcPr>
            <w:tcW w:w="108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0E" w:rsidRDefault="0089120E" w:rsidP="0089120E">
            <w:r>
              <w:t>Nota: Para términos de sensibilidad se sumaron las cepas sensibles más intermedias (S+I)</w:t>
            </w:r>
          </w:p>
          <w:p w:rsidR="0089120E" w:rsidRDefault="0089120E" w:rsidP="0089120E">
            <w:r>
              <w:t xml:space="preserve">No se probó </w:t>
            </w:r>
            <w:proofErr w:type="spellStart"/>
            <w:r>
              <w:t>azitromicina</w:t>
            </w:r>
            <w:proofErr w:type="spellEnd"/>
            <w:r>
              <w:t xml:space="preserve">, </w:t>
            </w:r>
            <w:proofErr w:type="spellStart"/>
            <w:r>
              <w:t>cefixima</w:t>
            </w:r>
            <w:proofErr w:type="spellEnd"/>
            <w:r>
              <w:t>, cloranfenicol</w:t>
            </w:r>
          </w:p>
        </w:tc>
      </w:tr>
    </w:tbl>
    <w:p w:rsidR="00472765" w:rsidRPr="00472765" w:rsidRDefault="00D12F2F" w:rsidP="00764FEE">
      <w:pPr>
        <w:jc w:val="center"/>
        <w:rPr>
          <w:b/>
          <w:sz w:val="28"/>
        </w:rPr>
      </w:pPr>
      <w:proofErr w:type="spellStart"/>
      <w:r>
        <w:rPr>
          <w:b/>
          <w:i/>
          <w:sz w:val="28"/>
        </w:rPr>
        <w:t>Shig</w:t>
      </w:r>
      <w:r w:rsidR="00472765" w:rsidRPr="00472765">
        <w:rPr>
          <w:b/>
          <w:i/>
          <w:sz w:val="28"/>
        </w:rPr>
        <w:t>ella</w:t>
      </w:r>
      <w:proofErr w:type="spellEnd"/>
      <w:r w:rsidR="00472765" w:rsidRPr="00472765">
        <w:rPr>
          <w:b/>
          <w:i/>
          <w:sz w:val="28"/>
        </w:rPr>
        <w:t xml:space="preserve"> </w:t>
      </w:r>
      <w:proofErr w:type="spellStart"/>
      <w:r w:rsidR="00472765">
        <w:rPr>
          <w:b/>
          <w:sz w:val="28"/>
        </w:rPr>
        <w:t>spp</w:t>
      </w:r>
      <w:proofErr w:type="spellEnd"/>
      <w:r w:rsidR="0077049E">
        <w:rPr>
          <w:b/>
          <w:sz w:val="28"/>
        </w:rPr>
        <w:t>.</w:t>
      </w:r>
    </w:p>
    <w:p w:rsidR="00472765" w:rsidRDefault="00CE098C" w:rsidP="00764FEE">
      <w:pPr>
        <w:jc w:val="center"/>
        <w:rPr>
          <w:sz w:val="28"/>
        </w:rPr>
      </w:pPr>
      <w:r>
        <w:rPr>
          <w:sz w:val="28"/>
        </w:rPr>
        <w:br w:type="textWrapping" w:clear="all"/>
      </w:r>
    </w:p>
    <w:p w:rsidR="006539E5" w:rsidRDefault="006539E5" w:rsidP="00764FEE">
      <w:pPr>
        <w:jc w:val="center"/>
        <w:rPr>
          <w:sz w:val="28"/>
        </w:rPr>
      </w:pPr>
    </w:p>
    <w:p w:rsidR="0010243E" w:rsidRDefault="0010243E" w:rsidP="0076273F">
      <w:pPr>
        <w:rPr>
          <w:sz w:val="28"/>
        </w:rPr>
      </w:pPr>
    </w:p>
    <w:p w:rsidR="0010243E" w:rsidRDefault="0010243E" w:rsidP="00764FEE">
      <w:pPr>
        <w:jc w:val="center"/>
        <w:rPr>
          <w:sz w:val="28"/>
        </w:rPr>
      </w:pPr>
    </w:p>
    <w:p w:rsidR="0077049E" w:rsidRPr="0077049E" w:rsidRDefault="0077049E" w:rsidP="00764FEE">
      <w:pPr>
        <w:jc w:val="center"/>
        <w:rPr>
          <w:b/>
          <w:sz w:val="28"/>
        </w:rPr>
      </w:pPr>
      <w:r w:rsidRPr="0077049E">
        <w:rPr>
          <w:b/>
          <w:sz w:val="28"/>
        </w:rPr>
        <w:lastRenderedPageBreak/>
        <w:t xml:space="preserve">Grupo </w:t>
      </w:r>
      <w:proofErr w:type="spellStart"/>
      <w:r w:rsidRPr="0077049E">
        <w:rPr>
          <w:b/>
          <w:i/>
          <w:sz w:val="32"/>
        </w:rPr>
        <w:t>Enterobacteriaceae</w:t>
      </w:r>
      <w:proofErr w:type="spellEnd"/>
    </w:p>
    <w:tbl>
      <w:tblPr>
        <w:tblStyle w:val="Tablaconcuadrcula"/>
        <w:tblW w:w="4962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1278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17"/>
      </w:tblGrid>
      <w:tr w:rsidR="001F3BAC" w:rsidTr="001F3BAC">
        <w:tc>
          <w:tcPr>
            <w:tcW w:w="5000" w:type="pct"/>
            <w:gridSpan w:val="11"/>
            <w:shd w:val="clear" w:color="auto" w:fill="CCDDEA" w:themeFill="background2"/>
          </w:tcPr>
          <w:p w:rsidR="001F3BAC" w:rsidRPr="0010243E" w:rsidRDefault="004F3E87" w:rsidP="00106E4B">
            <w:pPr>
              <w:jc w:val="center"/>
              <w:rPr>
                <w:sz w:val="32"/>
              </w:rPr>
            </w:pPr>
            <w:r>
              <w:rPr>
                <w:sz w:val="28"/>
                <w:szCs w:val="28"/>
              </w:rPr>
              <w:t>Porcentaje de S</w:t>
            </w:r>
            <w:r w:rsidRPr="00CE6812">
              <w:rPr>
                <w:sz w:val="28"/>
                <w:szCs w:val="28"/>
              </w:rPr>
              <w:t xml:space="preserve">usceptibilidad </w:t>
            </w:r>
            <w:r w:rsidR="001F3BAC">
              <w:rPr>
                <w:sz w:val="32"/>
              </w:rPr>
              <w:t>del gru</w:t>
            </w:r>
            <w:r w:rsidR="001F3BAC" w:rsidRPr="0010243E">
              <w:rPr>
                <w:sz w:val="32"/>
              </w:rPr>
              <w:t xml:space="preserve">po </w:t>
            </w:r>
            <w:proofErr w:type="spellStart"/>
            <w:r w:rsidR="008433A8" w:rsidRPr="008433A8">
              <w:rPr>
                <w:sz w:val="32"/>
              </w:rPr>
              <w:t>Enterobacteriaceae</w:t>
            </w:r>
            <w:proofErr w:type="spellEnd"/>
          </w:p>
        </w:tc>
      </w:tr>
      <w:tr w:rsidR="001F3BAC" w:rsidTr="001F3BAC">
        <w:trPr>
          <w:cantSplit/>
          <w:trHeight w:val="3122"/>
        </w:trPr>
        <w:tc>
          <w:tcPr>
            <w:tcW w:w="1222" w:type="pct"/>
            <w:shd w:val="clear" w:color="auto" w:fill="F7CD9D" w:themeFill="accent1" w:themeFillTint="66"/>
          </w:tcPr>
          <w:p w:rsidR="00F1410A" w:rsidRDefault="00F1410A" w:rsidP="00F1410A">
            <w:pPr>
              <w:rPr>
                <w:sz w:val="28"/>
              </w:rPr>
            </w:pPr>
          </w:p>
          <w:p w:rsidR="00F1410A" w:rsidRDefault="00F1410A" w:rsidP="00F1410A">
            <w:pPr>
              <w:rPr>
                <w:sz w:val="28"/>
              </w:rPr>
            </w:pPr>
          </w:p>
          <w:p w:rsidR="00F1410A" w:rsidRDefault="00F1410A" w:rsidP="00F1410A">
            <w:pPr>
              <w:rPr>
                <w:sz w:val="28"/>
              </w:rPr>
            </w:pPr>
          </w:p>
          <w:p w:rsidR="00F1410A" w:rsidRDefault="00F1410A" w:rsidP="00F1410A">
            <w:pPr>
              <w:rPr>
                <w:sz w:val="28"/>
              </w:rPr>
            </w:pPr>
          </w:p>
          <w:p w:rsidR="00F1410A" w:rsidRDefault="00F1410A" w:rsidP="00F1410A">
            <w:pPr>
              <w:rPr>
                <w:sz w:val="28"/>
              </w:rPr>
            </w:pPr>
          </w:p>
          <w:p w:rsidR="00F1410A" w:rsidRDefault="00F1410A" w:rsidP="00F1410A">
            <w:pPr>
              <w:rPr>
                <w:sz w:val="28"/>
              </w:rPr>
            </w:pPr>
          </w:p>
          <w:p w:rsidR="00F1410A" w:rsidRDefault="00F1410A" w:rsidP="00F1410A">
            <w:pPr>
              <w:rPr>
                <w:sz w:val="28"/>
              </w:rPr>
            </w:pPr>
          </w:p>
          <w:p w:rsidR="00F1410A" w:rsidRDefault="00F1410A" w:rsidP="00F1410A">
            <w:pPr>
              <w:rPr>
                <w:sz w:val="28"/>
              </w:rPr>
            </w:pPr>
          </w:p>
          <w:p w:rsidR="001F3BAC" w:rsidRDefault="00F1410A" w:rsidP="00F1410A">
            <w:pPr>
              <w:rPr>
                <w:sz w:val="28"/>
              </w:rPr>
            </w:pPr>
            <w:r>
              <w:rPr>
                <w:sz w:val="28"/>
              </w:rPr>
              <w:t>M.O</w:t>
            </w:r>
          </w:p>
        </w:tc>
        <w:tc>
          <w:tcPr>
            <w:tcW w:w="460" w:type="pct"/>
            <w:shd w:val="clear" w:color="auto" w:fill="F7CD9D" w:themeFill="accent1" w:themeFillTint="66"/>
          </w:tcPr>
          <w:p w:rsidR="00F1410A" w:rsidRDefault="00F1410A" w:rsidP="00106E4B">
            <w:pPr>
              <w:jc w:val="center"/>
              <w:rPr>
                <w:sz w:val="28"/>
              </w:rPr>
            </w:pPr>
          </w:p>
          <w:p w:rsidR="00F1410A" w:rsidRDefault="00F1410A" w:rsidP="00106E4B">
            <w:pPr>
              <w:jc w:val="center"/>
              <w:rPr>
                <w:sz w:val="28"/>
              </w:rPr>
            </w:pPr>
          </w:p>
          <w:p w:rsidR="00F1410A" w:rsidRDefault="00F1410A" w:rsidP="00106E4B">
            <w:pPr>
              <w:jc w:val="center"/>
              <w:rPr>
                <w:sz w:val="28"/>
              </w:rPr>
            </w:pPr>
          </w:p>
          <w:p w:rsidR="00F1410A" w:rsidRDefault="00F1410A" w:rsidP="00106E4B">
            <w:pPr>
              <w:jc w:val="center"/>
              <w:rPr>
                <w:sz w:val="28"/>
              </w:rPr>
            </w:pPr>
          </w:p>
          <w:p w:rsidR="00F1410A" w:rsidRDefault="00F1410A" w:rsidP="00106E4B">
            <w:pPr>
              <w:jc w:val="center"/>
              <w:rPr>
                <w:sz w:val="28"/>
              </w:rPr>
            </w:pPr>
          </w:p>
          <w:p w:rsidR="00F1410A" w:rsidRDefault="00F1410A" w:rsidP="00106E4B">
            <w:pPr>
              <w:jc w:val="center"/>
              <w:rPr>
                <w:sz w:val="28"/>
              </w:rPr>
            </w:pPr>
          </w:p>
          <w:p w:rsidR="00F1410A" w:rsidRDefault="00F1410A" w:rsidP="00106E4B">
            <w:pPr>
              <w:jc w:val="center"/>
              <w:rPr>
                <w:sz w:val="28"/>
              </w:rPr>
            </w:pPr>
          </w:p>
          <w:p w:rsidR="00F1410A" w:rsidRDefault="00F1410A" w:rsidP="00106E4B">
            <w:pPr>
              <w:jc w:val="center"/>
              <w:rPr>
                <w:sz w:val="28"/>
              </w:rPr>
            </w:pPr>
          </w:p>
          <w:p w:rsidR="001F3BAC" w:rsidRDefault="00F1410A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N°</w:t>
            </w:r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proofErr w:type="spellStart"/>
            <w:r w:rsidRPr="000D6F8A">
              <w:rPr>
                <w:sz w:val="28"/>
              </w:rPr>
              <w:t>Piperacilina</w:t>
            </w:r>
            <w:proofErr w:type="spellEnd"/>
            <w:r w:rsidRPr="000D6F8A">
              <w:rPr>
                <w:sz w:val="28"/>
              </w:rPr>
              <w:t xml:space="preserve">/ </w:t>
            </w:r>
            <w:proofErr w:type="spellStart"/>
            <w:r w:rsidRPr="000D6F8A">
              <w:rPr>
                <w:sz w:val="28"/>
              </w:rPr>
              <w:t>tazobactam</w:t>
            </w:r>
            <w:proofErr w:type="spellEnd"/>
          </w:p>
          <w:p w:rsidR="001F3BAC" w:rsidRDefault="001F3BAC" w:rsidP="00106E4B">
            <w:pPr>
              <w:ind w:left="113" w:right="113"/>
              <w:rPr>
                <w:sz w:val="28"/>
              </w:rPr>
            </w:pPr>
          </w:p>
          <w:p w:rsidR="001F3BAC" w:rsidRDefault="001F3BAC" w:rsidP="00106E4B">
            <w:pPr>
              <w:ind w:left="113" w:right="113"/>
              <w:rPr>
                <w:sz w:val="28"/>
              </w:rPr>
            </w:pPr>
          </w:p>
          <w:p w:rsidR="001F3BAC" w:rsidRDefault="001F3BAC" w:rsidP="00106E4B">
            <w:pPr>
              <w:ind w:left="113" w:right="113"/>
              <w:rPr>
                <w:sz w:val="28"/>
              </w:rPr>
            </w:pPr>
          </w:p>
          <w:p w:rsidR="001F3BAC" w:rsidRDefault="001F3BAC" w:rsidP="00106E4B">
            <w:pPr>
              <w:ind w:left="113" w:right="113"/>
              <w:rPr>
                <w:sz w:val="28"/>
              </w:rPr>
            </w:pPr>
          </w:p>
          <w:p w:rsidR="001F3BAC" w:rsidRDefault="001F3BAC" w:rsidP="00106E4B">
            <w:pPr>
              <w:ind w:left="113" w:right="113"/>
              <w:rPr>
                <w:sz w:val="28"/>
              </w:rPr>
            </w:pPr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proofErr w:type="spellStart"/>
            <w:r w:rsidRPr="000D6F8A">
              <w:rPr>
                <w:sz w:val="28"/>
              </w:rPr>
              <w:t>Cefepime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rFonts w:cstheme="minorHAnsi"/>
                <w:sz w:val="28"/>
              </w:rPr>
              <w:t>Φ</w:t>
            </w:r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proofErr w:type="spellStart"/>
            <w:r w:rsidRPr="000D6F8A">
              <w:rPr>
                <w:sz w:val="28"/>
              </w:rPr>
              <w:t>Ceftazidima</w:t>
            </w:r>
            <w:proofErr w:type="spellEnd"/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r w:rsidRPr="000D6F8A">
              <w:rPr>
                <w:sz w:val="28"/>
              </w:rPr>
              <w:t>Imipenem</w:t>
            </w:r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r w:rsidRPr="000D6F8A">
              <w:rPr>
                <w:sz w:val="28"/>
              </w:rPr>
              <w:t>Meropenem</w:t>
            </w:r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Cefoxitina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rFonts w:cstheme="minorHAnsi"/>
                <w:sz w:val="28"/>
              </w:rPr>
              <w:t>Φ</w:t>
            </w:r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proofErr w:type="spellStart"/>
            <w:r w:rsidRPr="000D6F8A">
              <w:rPr>
                <w:sz w:val="28"/>
              </w:rPr>
              <w:t>Ciprofloxacino</w:t>
            </w:r>
            <w:proofErr w:type="spellEnd"/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proofErr w:type="spellStart"/>
            <w:r w:rsidRPr="000D6F8A">
              <w:rPr>
                <w:sz w:val="28"/>
              </w:rPr>
              <w:t>Colistina</w:t>
            </w:r>
            <w:proofErr w:type="spellEnd"/>
          </w:p>
        </w:tc>
        <w:tc>
          <w:tcPr>
            <w:tcW w:w="369" w:type="pct"/>
            <w:shd w:val="clear" w:color="auto" w:fill="F7CD9D" w:themeFill="accent1" w:themeFillTint="66"/>
            <w:textDirection w:val="btLr"/>
          </w:tcPr>
          <w:p w:rsidR="001F3BAC" w:rsidRPr="000D6F8A" w:rsidRDefault="001F3BAC" w:rsidP="00106E4B">
            <w:pPr>
              <w:ind w:left="113" w:right="113"/>
              <w:rPr>
                <w:sz w:val="28"/>
              </w:rPr>
            </w:pPr>
            <w:proofErr w:type="spellStart"/>
            <w:r w:rsidRPr="000D6F8A">
              <w:rPr>
                <w:sz w:val="28"/>
              </w:rPr>
              <w:t>Fosfomicina</w:t>
            </w:r>
            <w:proofErr w:type="spellEnd"/>
          </w:p>
        </w:tc>
      </w:tr>
      <w:tr w:rsidR="001F3BAC" w:rsidTr="001F3BAC">
        <w:tc>
          <w:tcPr>
            <w:tcW w:w="1222" w:type="pct"/>
            <w:shd w:val="clear" w:color="auto" w:fill="F7CD9D" w:themeFill="accent1" w:themeFillTint="66"/>
          </w:tcPr>
          <w:p w:rsidR="001F3BAC" w:rsidRPr="0010243E" w:rsidRDefault="001F3BAC" w:rsidP="00106E4B">
            <w:pPr>
              <w:rPr>
                <w:i/>
                <w:sz w:val="28"/>
              </w:rPr>
            </w:pPr>
            <w:proofErr w:type="spellStart"/>
            <w:r w:rsidRPr="0010243E">
              <w:rPr>
                <w:i/>
                <w:sz w:val="28"/>
              </w:rPr>
              <w:t>Citrobacter</w:t>
            </w:r>
            <w:proofErr w:type="spellEnd"/>
            <w:r w:rsidRPr="0010243E">
              <w:rPr>
                <w:i/>
                <w:sz w:val="28"/>
              </w:rPr>
              <w:t xml:space="preserve"> </w:t>
            </w:r>
            <w:proofErr w:type="spellStart"/>
            <w:r w:rsidRPr="0010243E">
              <w:rPr>
                <w:i/>
                <w:sz w:val="28"/>
              </w:rPr>
              <w:t>freundii</w:t>
            </w:r>
            <w:proofErr w:type="spellEnd"/>
          </w:p>
        </w:tc>
        <w:tc>
          <w:tcPr>
            <w:tcW w:w="460" w:type="pct"/>
            <w:shd w:val="clear" w:color="auto" w:fill="F7CD9D" w:themeFill="accent1" w:themeFillTint="66"/>
          </w:tcPr>
          <w:p w:rsidR="001F3BAC" w:rsidRDefault="00BD00F7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1F3BAC" w:rsidTr="001F3BAC">
        <w:tc>
          <w:tcPr>
            <w:tcW w:w="1222" w:type="pct"/>
            <w:shd w:val="clear" w:color="auto" w:fill="F7CD9D" w:themeFill="accent1" w:themeFillTint="66"/>
          </w:tcPr>
          <w:p w:rsidR="001F3BAC" w:rsidRPr="0010243E" w:rsidRDefault="001F3BAC" w:rsidP="00106E4B">
            <w:pPr>
              <w:rPr>
                <w:i/>
                <w:sz w:val="28"/>
              </w:rPr>
            </w:pPr>
            <w:proofErr w:type="spellStart"/>
            <w:r w:rsidRPr="0010243E">
              <w:rPr>
                <w:i/>
                <w:sz w:val="28"/>
              </w:rPr>
              <w:t>Serratia</w:t>
            </w:r>
            <w:proofErr w:type="spellEnd"/>
            <w:r w:rsidRPr="0010243E">
              <w:rPr>
                <w:i/>
                <w:sz w:val="28"/>
              </w:rPr>
              <w:t xml:space="preserve"> </w:t>
            </w:r>
            <w:proofErr w:type="spellStart"/>
            <w:r w:rsidRPr="0010243E">
              <w:rPr>
                <w:i/>
                <w:sz w:val="28"/>
              </w:rPr>
              <w:t>marscescens</w:t>
            </w:r>
            <w:proofErr w:type="spellEnd"/>
          </w:p>
        </w:tc>
        <w:tc>
          <w:tcPr>
            <w:tcW w:w="460" w:type="pct"/>
            <w:shd w:val="clear" w:color="auto" w:fill="F7CD9D" w:themeFill="accent1" w:themeFillTint="66"/>
          </w:tcPr>
          <w:p w:rsidR="001F3BAC" w:rsidRDefault="00BD00F7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BD0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1F3BAC" w:rsidTr="001F3BAC">
        <w:tc>
          <w:tcPr>
            <w:tcW w:w="1222" w:type="pct"/>
            <w:shd w:val="clear" w:color="auto" w:fill="F7CD9D" w:themeFill="accent1" w:themeFillTint="66"/>
          </w:tcPr>
          <w:p w:rsidR="001F3BAC" w:rsidRPr="0010243E" w:rsidRDefault="001F3BAC" w:rsidP="00106E4B">
            <w:pPr>
              <w:rPr>
                <w:i/>
                <w:sz w:val="28"/>
              </w:rPr>
            </w:pPr>
            <w:proofErr w:type="spellStart"/>
            <w:r w:rsidRPr="0010243E">
              <w:rPr>
                <w:i/>
                <w:sz w:val="28"/>
              </w:rPr>
              <w:t>Enterobacter</w:t>
            </w:r>
            <w:proofErr w:type="spellEnd"/>
            <w:r w:rsidRPr="0010243E">
              <w:rPr>
                <w:i/>
                <w:sz w:val="28"/>
              </w:rPr>
              <w:t xml:space="preserve"> </w:t>
            </w:r>
            <w:proofErr w:type="spellStart"/>
            <w:r w:rsidRPr="0010243E">
              <w:rPr>
                <w:i/>
                <w:sz w:val="28"/>
              </w:rPr>
              <w:t>cloacae</w:t>
            </w:r>
            <w:proofErr w:type="spellEnd"/>
          </w:p>
        </w:tc>
        <w:tc>
          <w:tcPr>
            <w:tcW w:w="460" w:type="pct"/>
            <w:shd w:val="clear" w:color="auto" w:fill="F7CD9D" w:themeFill="accent1" w:themeFillTint="66"/>
          </w:tcPr>
          <w:p w:rsidR="001F3BAC" w:rsidRDefault="00BD00F7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BD00F7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F1410A" w:rsidP="00F1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F1410A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F1410A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F1410A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F1410A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77%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F1410A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9" w:type="pct"/>
            <w:shd w:val="clear" w:color="auto" w:fill="F7CD9D" w:themeFill="accent1" w:themeFillTint="66"/>
          </w:tcPr>
          <w:p w:rsidR="001F3BAC" w:rsidRDefault="00F1410A" w:rsidP="00106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77%</w:t>
            </w:r>
          </w:p>
        </w:tc>
      </w:tr>
      <w:tr w:rsidR="001F3BAC" w:rsidTr="001F3BAC">
        <w:tc>
          <w:tcPr>
            <w:tcW w:w="5000" w:type="pct"/>
            <w:gridSpan w:val="11"/>
          </w:tcPr>
          <w:p w:rsidR="001F3BAC" w:rsidRDefault="001F3BAC" w:rsidP="00106E4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Para motivos de análisis de antibiograma acumulado, se sumaron S-I.</w:t>
            </w:r>
          </w:p>
          <w:p w:rsidR="001F3BAC" w:rsidRDefault="001F3BAC" w:rsidP="00106E4B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Φ En cepas con  gen </w:t>
            </w:r>
            <w:r w:rsidRPr="003439A4">
              <w:rPr>
                <w:rFonts w:cstheme="minorHAnsi"/>
                <w:i/>
                <w:sz w:val="28"/>
              </w:rPr>
              <w:t>AmpC</w:t>
            </w:r>
            <w:r>
              <w:rPr>
                <w:rFonts w:cstheme="minorHAnsi"/>
                <w:sz w:val="28"/>
              </w:rPr>
              <w:t xml:space="preserve">, pueden sospecharse si existe resistencia </w:t>
            </w:r>
            <w:proofErr w:type="spellStart"/>
            <w:r>
              <w:rPr>
                <w:rFonts w:cstheme="minorHAnsi"/>
                <w:sz w:val="28"/>
              </w:rPr>
              <w:t>cefoxitina</w:t>
            </w:r>
            <w:proofErr w:type="spellEnd"/>
            <w:r>
              <w:rPr>
                <w:rFonts w:cstheme="minorHAnsi"/>
                <w:sz w:val="28"/>
              </w:rPr>
              <w:t xml:space="preserve"> y sensibilidad a </w:t>
            </w:r>
            <w:proofErr w:type="spellStart"/>
            <w:r>
              <w:rPr>
                <w:rFonts w:cstheme="minorHAnsi"/>
                <w:sz w:val="28"/>
              </w:rPr>
              <w:t>Cefepime</w:t>
            </w:r>
            <w:proofErr w:type="spellEnd"/>
          </w:p>
          <w:p w:rsidR="001F3BAC" w:rsidRDefault="001F3BAC" w:rsidP="00106E4B">
            <w:pPr>
              <w:rPr>
                <w:sz w:val="28"/>
              </w:rPr>
            </w:pPr>
          </w:p>
        </w:tc>
      </w:tr>
    </w:tbl>
    <w:p w:rsidR="0010243E" w:rsidRDefault="0010243E" w:rsidP="00764FEE">
      <w:pPr>
        <w:jc w:val="center"/>
        <w:rPr>
          <w:sz w:val="28"/>
        </w:rPr>
      </w:pPr>
    </w:p>
    <w:p w:rsidR="0010243E" w:rsidRDefault="0010243E" w:rsidP="00764FEE">
      <w:pPr>
        <w:jc w:val="center"/>
        <w:rPr>
          <w:sz w:val="28"/>
        </w:rPr>
      </w:pPr>
    </w:p>
    <w:p w:rsidR="00472765" w:rsidRDefault="00472765" w:rsidP="00764FEE">
      <w:pPr>
        <w:jc w:val="center"/>
        <w:rPr>
          <w:sz w:val="28"/>
        </w:rPr>
      </w:pPr>
    </w:p>
    <w:p w:rsidR="0076273F" w:rsidRDefault="0076273F" w:rsidP="00764FEE">
      <w:pPr>
        <w:jc w:val="center"/>
        <w:rPr>
          <w:sz w:val="28"/>
        </w:rPr>
      </w:pPr>
    </w:p>
    <w:p w:rsidR="00472765" w:rsidRDefault="00472765" w:rsidP="00764FEE">
      <w:pPr>
        <w:jc w:val="center"/>
        <w:rPr>
          <w:sz w:val="28"/>
        </w:rPr>
      </w:pPr>
    </w:p>
    <w:p w:rsidR="009F5AEE" w:rsidRDefault="009F5AEE" w:rsidP="00764FEE">
      <w:pPr>
        <w:jc w:val="center"/>
        <w:rPr>
          <w:sz w:val="28"/>
        </w:rPr>
      </w:pPr>
    </w:p>
    <w:p w:rsidR="009F5AEE" w:rsidRPr="00F605B5" w:rsidRDefault="00F605B5" w:rsidP="00764FEE">
      <w:pPr>
        <w:jc w:val="center"/>
        <w:rPr>
          <w:sz w:val="44"/>
        </w:rPr>
      </w:pPr>
      <w:proofErr w:type="spellStart"/>
      <w:r>
        <w:rPr>
          <w:i/>
          <w:sz w:val="44"/>
        </w:rPr>
        <w:t>Ca</w:t>
      </w:r>
      <w:r w:rsidR="009F5AEE" w:rsidRPr="00F605B5">
        <w:rPr>
          <w:i/>
          <w:sz w:val="44"/>
        </w:rPr>
        <w:t>ndida</w:t>
      </w:r>
      <w:proofErr w:type="spellEnd"/>
      <w:r w:rsidR="009F5AEE" w:rsidRPr="00F605B5">
        <w:rPr>
          <w:i/>
          <w:sz w:val="44"/>
        </w:rPr>
        <w:t xml:space="preserve"> </w:t>
      </w:r>
      <w:proofErr w:type="spellStart"/>
      <w:r w:rsidR="009F5AEE" w:rsidRPr="00F605B5">
        <w:rPr>
          <w:sz w:val="44"/>
        </w:rPr>
        <w:t>spp</w:t>
      </w:r>
      <w:proofErr w:type="spellEnd"/>
      <w:r w:rsidR="009F5AEE" w:rsidRPr="00F605B5">
        <w:rPr>
          <w:sz w:val="44"/>
        </w:rPr>
        <w:t>.</w:t>
      </w:r>
    </w:p>
    <w:tbl>
      <w:tblPr>
        <w:tblW w:w="13205" w:type="dxa"/>
        <w:tblInd w:w="3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76"/>
        <w:gridCol w:w="1617"/>
        <w:gridCol w:w="1351"/>
        <w:gridCol w:w="1351"/>
        <w:gridCol w:w="1351"/>
        <w:gridCol w:w="1351"/>
        <w:gridCol w:w="1351"/>
        <w:gridCol w:w="1351"/>
        <w:gridCol w:w="6"/>
      </w:tblGrid>
      <w:tr w:rsidR="009F5AEE" w:rsidRPr="009F5AEE" w:rsidTr="006E546D">
        <w:trPr>
          <w:trHeight w:val="417"/>
        </w:trPr>
        <w:tc>
          <w:tcPr>
            <w:tcW w:w="13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6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4F3E87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sz w:val="28"/>
                <w:szCs w:val="28"/>
              </w:rPr>
              <w:t>Porcentaje de S</w:t>
            </w:r>
            <w:r w:rsidRPr="00CE6812">
              <w:rPr>
                <w:sz w:val="28"/>
                <w:szCs w:val="28"/>
              </w:rPr>
              <w:t xml:space="preserve">usceptibilidad </w:t>
            </w:r>
            <w:r w:rsidR="009F5AEE" w:rsidRPr="009F5AEE">
              <w:rPr>
                <w:rFonts w:ascii="Calibri" w:eastAsia="Times New Roman" w:hAnsi="Calibri" w:cs="Calibri"/>
                <w:color w:val="000000"/>
                <w:kern w:val="24"/>
                <w:position w:val="1"/>
                <w:sz w:val="32"/>
                <w:szCs w:val="24"/>
                <w:lang w:eastAsia="es-MX"/>
              </w:rPr>
              <w:t xml:space="preserve">en </w:t>
            </w:r>
            <w:proofErr w:type="spellStart"/>
            <w:r w:rsidR="00DB4A75">
              <w:rPr>
                <w:rFonts w:ascii="Calibri" w:eastAsia="Times New Roman" w:hAnsi="Calibri" w:cs="Calibri"/>
                <w:i/>
                <w:iCs/>
                <w:color w:val="000000"/>
                <w:kern w:val="24"/>
                <w:position w:val="1"/>
                <w:sz w:val="32"/>
                <w:szCs w:val="24"/>
                <w:lang w:eastAsia="es-MX"/>
              </w:rPr>
              <w:t>Ca</w:t>
            </w:r>
            <w:r w:rsidR="009F5AEE"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position w:val="1"/>
                <w:sz w:val="32"/>
                <w:szCs w:val="24"/>
                <w:lang w:eastAsia="es-MX"/>
              </w:rPr>
              <w:t>ndida</w:t>
            </w:r>
            <w:proofErr w:type="spellEnd"/>
            <w:r w:rsidR="009F5AEE"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position w:val="1"/>
                <w:sz w:val="32"/>
                <w:szCs w:val="24"/>
                <w:lang w:eastAsia="es-MX"/>
              </w:rPr>
              <w:t xml:space="preserve"> </w:t>
            </w:r>
            <w:proofErr w:type="spellStart"/>
            <w:r w:rsidR="009F5AEE" w:rsidRPr="009F5AEE">
              <w:rPr>
                <w:rFonts w:ascii="Calibri" w:eastAsia="Times New Roman" w:hAnsi="Calibri" w:cs="Calibri"/>
                <w:color w:val="000000"/>
                <w:kern w:val="24"/>
                <w:position w:val="1"/>
                <w:sz w:val="32"/>
                <w:szCs w:val="24"/>
                <w:lang w:eastAsia="es-MX"/>
              </w:rPr>
              <w:t>spp</w:t>
            </w:r>
            <w:proofErr w:type="spellEnd"/>
            <w:r w:rsidR="009F5AEE" w:rsidRPr="009F5AEE">
              <w:rPr>
                <w:rFonts w:ascii="Calibri" w:eastAsia="Times New Roman" w:hAnsi="Calibri" w:cs="Calibri"/>
                <w:color w:val="000000"/>
                <w:kern w:val="24"/>
                <w:position w:val="1"/>
                <w:sz w:val="32"/>
                <w:szCs w:val="24"/>
                <w:lang w:eastAsia="es-MX"/>
              </w:rPr>
              <w:t>.</w:t>
            </w:r>
          </w:p>
        </w:tc>
      </w:tr>
      <w:tr w:rsidR="009F5AEE" w:rsidRPr="009F5AEE" w:rsidTr="006E546D">
        <w:trPr>
          <w:gridAfter w:val="1"/>
          <w:wAfter w:w="6" w:type="dxa"/>
          <w:trHeight w:val="1953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9F5AEE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 w:rsidRPr="009F5AEE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M</w:t>
            </w:r>
            <w:r w:rsidR="004F3E87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.</w:t>
            </w:r>
            <w:r w:rsidRPr="009F5AEE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O</w:t>
            </w:r>
            <w:r w:rsidR="004F3E87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4F3E87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N°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9F5AEE" w:rsidRPr="009F5AEE" w:rsidRDefault="009F5AEE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 w:rsidRPr="009F5AEE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AMB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9F5AEE" w:rsidRPr="009F5AEE" w:rsidRDefault="009F5AEE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proofErr w:type="spellStart"/>
            <w:r w:rsidRPr="009F5AEE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Caspofungina</w:t>
            </w:r>
            <w:proofErr w:type="spell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9F5AEE" w:rsidRPr="009F5AEE" w:rsidRDefault="009F5AEE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proofErr w:type="spellStart"/>
            <w:r w:rsidRPr="009F5AEE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Fluocitocina</w:t>
            </w:r>
            <w:proofErr w:type="spell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9F5AEE" w:rsidRPr="009F5AEE" w:rsidRDefault="009F5AEE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proofErr w:type="spellStart"/>
            <w:r w:rsidRPr="009F5AEE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Fluconazol</w:t>
            </w:r>
            <w:proofErr w:type="spell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9F5AEE" w:rsidRPr="009F5AEE" w:rsidRDefault="009F5AEE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proofErr w:type="spellStart"/>
            <w:r w:rsidRPr="009F5AEE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Voriconazol</w:t>
            </w:r>
            <w:proofErr w:type="spell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9F5AEE" w:rsidRPr="009F5AEE" w:rsidRDefault="009F5AEE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proofErr w:type="spellStart"/>
            <w:r w:rsidRPr="009F5AEE">
              <w:rPr>
                <w:rFonts w:ascii="Calibri" w:eastAsia="Times New Roman" w:hAnsi="Calibri" w:cs="Calibri"/>
                <w:color w:val="000000"/>
                <w:kern w:val="24"/>
                <w:sz w:val="32"/>
                <w:szCs w:val="24"/>
                <w:lang w:eastAsia="es-MX"/>
              </w:rPr>
              <w:t>Micafungina</w:t>
            </w:r>
            <w:proofErr w:type="spellEnd"/>
          </w:p>
        </w:tc>
      </w:tr>
      <w:tr w:rsidR="009F5AEE" w:rsidRPr="009F5AEE" w:rsidTr="006E546D">
        <w:trPr>
          <w:gridAfter w:val="1"/>
          <w:wAfter w:w="6" w:type="dxa"/>
          <w:trHeight w:val="556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9F5AEE" w:rsidP="009F5AE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 xml:space="preserve">C. </w:t>
            </w:r>
            <w:proofErr w:type="spellStart"/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>tropicalis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16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94%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</w:tr>
      <w:tr w:rsidR="009F5AEE" w:rsidRPr="009F5AEE" w:rsidTr="006E546D">
        <w:trPr>
          <w:gridAfter w:val="1"/>
          <w:wAfter w:w="6" w:type="dxa"/>
          <w:trHeight w:val="407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9F5AEE" w:rsidP="009F5AE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 xml:space="preserve">C. </w:t>
            </w:r>
            <w:proofErr w:type="spellStart"/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>parapsilosis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6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75%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C00CB1" w:rsidP="006E546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</w:tr>
      <w:tr w:rsidR="009F5AEE" w:rsidRPr="009F5AEE" w:rsidTr="006E546D">
        <w:trPr>
          <w:gridAfter w:val="1"/>
          <w:wAfter w:w="6" w:type="dxa"/>
          <w:trHeight w:val="43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9F5AEE" w:rsidP="009F5AE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 xml:space="preserve">C. </w:t>
            </w:r>
            <w:proofErr w:type="spellStart"/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>albicans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5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</w:tr>
      <w:tr w:rsidR="009F5AEE" w:rsidRPr="009F5AEE" w:rsidTr="006E546D">
        <w:trPr>
          <w:gridAfter w:val="1"/>
          <w:wAfter w:w="6" w:type="dxa"/>
          <w:trHeight w:val="754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9F5AEE" w:rsidP="009F5AE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 xml:space="preserve">C. </w:t>
            </w:r>
            <w:proofErr w:type="spellStart"/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>lusitan</w:t>
            </w:r>
            <w:r w:rsidR="008433A8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>i</w:t>
            </w:r>
            <w:r w:rsidRPr="009F5AEE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32"/>
                <w:szCs w:val="24"/>
                <w:lang w:eastAsia="es-MX"/>
              </w:rPr>
              <w:t>ae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100%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8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9F5AEE" w:rsidRDefault="00051009" w:rsidP="009F5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  <w:t>-</w:t>
            </w:r>
          </w:p>
        </w:tc>
      </w:tr>
      <w:tr w:rsidR="009F5AEE" w:rsidRPr="009F5AEE" w:rsidTr="006E546D">
        <w:trPr>
          <w:trHeight w:val="754"/>
        </w:trPr>
        <w:tc>
          <w:tcPr>
            <w:tcW w:w="132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AEE" w:rsidRPr="007F0DDC" w:rsidRDefault="009F5AEE" w:rsidP="009F5A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val="es-MX" w:eastAsia="es-MX"/>
              </w:rPr>
            </w:pPr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eastAsia="es-MX"/>
              </w:rPr>
              <w:t xml:space="preserve">80% de todas las infecciones </w:t>
            </w:r>
            <w:r w:rsidR="008433A8"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eastAsia="es-MX"/>
              </w:rPr>
              <w:t>nosocomiales corresponden</w:t>
            </w:r>
            <w:r w:rsidR="00921263"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eastAsia="es-MX"/>
              </w:rPr>
              <w:t xml:space="preserve"> a </w:t>
            </w:r>
            <w:proofErr w:type="spellStart"/>
            <w:r w:rsidR="00921263" w:rsidRPr="007F0DDC">
              <w:rPr>
                <w:rFonts w:ascii="Calibri" w:eastAsia="Times New Roman" w:hAnsi="Calibri" w:cs="Calibri"/>
                <w:i/>
                <w:color w:val="000000"/>
                <w:kern w:val="24"/>
                <w:sz w:val="28"/>
                <w:szCs w:val="24"/>
                <w:lang w:eastAsia="es-MX"/>
              </w:rPr>
              <w:t>ca</w:t>
            </w:r>
            <w:r w:rsidRPr="007F0DDC">
              <w:rPr>
                <w:rFonts w:ascii="Calibri" w:eastAsia="Times New Roman" w:hAnsi="Calibri" w:cs="Calibri"/>
                <w:i/>
                <w:color w:val="000000"/>
                <w:kern w:val="24"/>
                <w:sz w:val="28"/>
                <w:szCs w:val="24"/>
                <w:lang w:eastAsia="es-MX"/>
              </w:rPr>
              <w:t>ndida</w:t>
            </w:r>
            <w:proofErr w:type="spellEnd"/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eastAsia="es-MX"/>
              </w:rPr>
              <w:t xml:space="preserve"> </w:t>
            </w:r>
            <w:proofErr w:type="spellStart"/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eastAsia="es-MX"/>
              </w:rPr>
              <w:t>spp</w:t>
            </w:r>
            <w:proofErr w:type="spellEnd"/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eastAsia="es-MX"/>
              </w:rPr>
              <w:t>.</w:t>
            </w:r>
          </w:p>
          <w:p w:rsidR="009F5AEE" w:rsidRPr="009F5AEE" w:rsidRDefault="009F5AEE" w:rsidP="009F5AE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  <w:lang w:val="es-MX" w:eastAsia="es-MX"/>
              </w:rPr>
            </w:pPr>
            <w:r w:rsidRPr="007F0DDC">
              <w:rPr>
                <w:rFonts w:ascii="Calibri" w:eastAsia="Times New Roman" w:hAnsi="Calibri" w:cs="Calibri"/>
                <w:iCs/>
                <w:color w:val="000000"/>
                <w:kern w:val="24"/>
                <w:sz w:val="28"/>
                <w:szCs w:val="24"/>
                <w:lang w:val="es-MX" w:eastAsia="es-MX"/>
              </w:rPr>
              <w:t>Prevalencia de resistencia mundial:</w:t>
            </w:r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 xml:space="preserve"> C. </w:t>
            </w:r>
            <w:proofErr w:type="spellStart"/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>albicans</w:t>
            </w:r>
            <w:proofErr w:type="spellEnd"/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val="es-MX" w:eastAsia="es-MX"/>
              </w:rPr>
              <w:t xml:space="preserve"> 0.8 a 1.5%, </w:t>
            </w:r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 xml:space="preserve">C. </w:t>
            </w:r>
            <w:proofErr w:type="spellStart"/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>tropicalis</w:t>
            </w:r>
            <w:proofErr w:type="spellEnd"/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 xml:space="preserve"> </w:t>
            </w:r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val="es-MX" w:eastAsia="es-MX"/>
              </w:rPr>
              <w:t xml:space="preserve">3 a 6.6%, </w:t>
            </w:r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 xml:space="preserve">C. </w:t>
            </w:r>
            <w:proofErr w:type="spellStart"/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>parapsilosis</w:t>
            </w:r>
            <w:proofErr w:type="spellEnd"/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 xml:space="preserve"> </w:t>
            </w:r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val="es-MX" w:eastAsia="es-MX"/>
              </w:rPr>
              <w:t xml:space="preserve">2 a 4.2%, C. </w:t>
            </w:r>
            <w:proofErr w:type="spellStart"/>
            <w:r w:rsidRPr="007F0DDC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8"/>
                <w:szCs w:val="24"/>
                <w:lang w:val="es-MX" w:eastAsia="es-MX"/>
              </w:rPr>
              <w:t>lusitaniae</w:t>
            </w:r>
            <w:proofErr w:type="spellEnd"/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val="es-MX" w:eastAsia="es-MX"/>
              </w:rPr>
              <w:t xml:space="preserve"> 1.6 a 6.6%. </w:t>
            </w:r>
            <w:r w:rsidRPr="007F0DDC">
              <w:rPr>
                <w:rFonts w:ascii="Calibri" w:eastAsia="Times New Roman" w:hAnsi="Calibri" w:cs="Calibri"/>
                <w:i/>
                <w:color w:val="000000"/>
                <w:kern w:val="24"/>
                <w:sz w:val="28"/>
                <w:szCs w:val="24"/>
                <w:lang w:val="es-MX" w:eastAsia="es-MX"/>
              </w:rPr>
              <w:t xml:space="preserve">C. </w:t>
            </w:r>
            <w:proofErr w:type="spellStart"/>
            <w:r w:rsidRPr="007F0DDC">
              <w:rPr>
                <w:rFonts w:ascii="Calibri" w:eastAsia="Times New Roman" w:hAnsi="Calibri" w:cs="Calibri"/>
                <w:i/>
                <w:color w:val="000000"/>
                <w:kern w:val="24"/>
                <w:sz w:val="28"/>
                <w:szCs w:val="24"/>
                <w:lang w:val="es-MX" w:eastAsia="es-MX"/>
              </w:rPr>
              <w:t>glabrata</w:t>
            </w:r>
            <w:proofErr w:type="spellEnd"/>
            <w:r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val="es-MX" w:eastAsia="es-MX"/>
              </w:rPr>
              <w:t xml:space="preserve"> es la más compleja de tratar</w:t>
            </w:r>
            <w:r w:rsidR="007F0DDC" w:rsidRPr="007F0DDC">
              <w:rPr>
                <w:rFonts w:ascii="Calibri" w:eastAsia="Times New Roman" w:hAnsi="Calibri" w:cs="Calibri"/>
                <w:color w:val="000000"/>
                <w:kern w:val="24"/>
                <w:sz w:val="28"/>
                <w:szCs w:val="24"/>
                <w:lang w:val="es-MX" w:eastAsia="es-MX"/>
              </w:rPr>
              <w:t>.</w:t>
            </w:r>
          </w:p>
        </w:tc>
      </w:tr>
    </w:tbl>
    <w:p w:rsidR="009F5AEE" w:rsidRDefault="009F5AEE" w:rsidP="00764FEE">
      <w:pPr>
        <w:jc w:val="center"/>
        <w:rPr>
          <w:sz w:val="44"/>
        </w:rPr>
      </w:pPr>
    </w:p>
    <w:p w:rsidR="00472765" w:rsidRPr="00764FEE" w:rsidRDefault="00472765" w:rsidP="00472765">
      <w:pPr>
        <w:jc w:val="both"/>
        <w:rPr>
          <w:sz w:val="28"/>
        </w:rPr>
      </w:pPr>
    </w:p>
    <w:sectPr w:rsidR="00472765" w:rsidRPr="00764FEE" w:rsidSect="002E4391">
      <w:footerReference w:type="default" r:id="rId16"/>
      <w:pgSz w:w="16838" w:h="11906" w:orient="landscape"/>
      <w:pgMar w:top="1135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7D" w:rsidRDefault="000E247D" w:rsidP="006F0C57">
      <w:pPr>
        <w:spacing w:after="0" w:line="240" w:lineRule="auto"/>
      </w:pPr>
      <w:r>
        <w:separator/>
      </w:r>
    </w:p>
  </w:endnote>
  <w:endnote w:type="continuationSeparator" w:id="0">
    <w:p w:rsidR="000E247D" w:rsidRDefault="000E247D" w:rsidP="006F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233522"/>
      <w:docPartObj>
        <w:docPartGallery w:val="Page Numbers (Bottom of Page)"/>
        <w:docPartUnique/>
      </w:docPartObj>
    </w:sdtPr>
    <w:sdtContent>
      <w:p w:rsidR="0003231E" w:rsidRDefault="00032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D5F62" w:rsidRDefault="007D5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7D" w:rsidRDefault="000E247D" w:rsidP="006F0C57">
      <w:pPr>
        <w:spacing w:after="0" w:line="240" w:lineRule="auto"/>
      </w:pPr>
      <w:r>
        <w:separator/>
      </w:r>
    </w:p>
  </w:footnote>
  <w:footnote w:type="continuationSeparator" w:id="0">
    <w:p w:rsidR="000E247D" w:rsidRDefault="000E247D" w:rsidP="006F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040A"/>
    <w:multiLevelType w:val="hybridMultilevel"/>
    <w:tmpl w:val="6EA8998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2D7547"/>
    <w:multiLevelType w:val="hybridMultilevel"/>
    <w:tmpl w:val="0772052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4483"/>
    <w:multiLevelType w:val="hybridMultilevel"/>
    <w:tmpl w:val="1194C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26331"/>
    <w:multiLevelType w:val="hybridMultilevel"/>
    <w:tmpl w:val="45A419F6"/>
    <w:lvl w:ilvl="0" w:tplc="080A000F">
      <w:start w:val="1"/>
      <w:numFmt w:val="decimal"/>
      <w:lvlText w:val="%1."/>
      <w:lvlJc w:val="left"/>
      <w:pPr>
        <w:ind w:left="833" w:hanging="360"/>
      </w:p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63352EE1"/>
    <w:multiLevelType w:val="hybridMultilevel"/>
    <w:tmpl w:val="7996F5C8"/>
    <w:lvl w:ilvl="0" w:tplc="080A000F">
      <w:start w:val="1"/>
      <w:numFmt w:val="decimal"/>
      <w:lvlText w:val="%1."/>
      <w:lvlJc w:val="left"/>
      <w:pPr>
        <w:ind w:left="833" w:hanging="360"/>
      </w:p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12"/>
    <w:rsid w:val="00013BD8"/>
    <w:rsid w:val="0003231E"/>
    <w:rsid w:val="00034D06"/>
    <w:rsid w:val="00034D8F"/>
    <w:rsid w:val="00034E71"/>
    <w:rsid w:val="00040808"/>
    <w:rsid w:val="00051009"/>
    <w:rsid w:val="00052680"/>
    <w:rsid w:val="00055B79"/>
    <w:rsid w:val="00061D65"/>
    <w:rsid w:val="00066EDF"/>
    <w:rsid w:val="000D6F8A"/>
    <w:rsid w:val="000E247D"/>
    <w:rsid w:val="000F4CB7"/>
    <w:rsid w:val="001014DD"/>
    <w:rsid w:val="0010243E"/>
    <w:rsid w:val="001025A7"/>
    <w:rsid w:val="00102AF8"/>
    <w:rsid w:val="00105F51"/>
    <w:rsid w:val="00106E4B"/>
    <w:rsid w:val="00124A58"/>
    <w:rsid w:val="00131765"/>
    <w:rsid w:val="00140B78"/>
    <w:rsid w:val="00143FEA"/>
    <w:rsid w:val="00171994"/>
    <w:rsid w:val="00171FD1"/>
    <w:rsid w:val="001C375D"/>
    <w:rsid w:val="001F3BAC"/>
    <w:rsid w:val="00201A01"/>
    <w:rsid w:val="00201E9B"/>
    <w:rsid w:val="002048A2"/>
    <w:rsid w:val="00207984"/>
    <w:rsid w:val="0022205E"/>
    <w:rsid w:val="00231B87"/>
    <w:rsid w:val="00254C92"/>
    <w:rsid w:val="00270500"/>
    <w:rsid w:val="00272D40"/>
    <w:rsid w:val="00282795"/>
    <w:rsid w:val="00284218"/>
    <w:rsid w:val="002876F7"/>
    <w:rsid w:val="002A543C"/>
    <w:rsid w:val="002B4276"/>
    <w:rsid w:val="002E4391"/>
    <w:rsid w:val="002E4AD6"/>
    <w:rsid w:val="00315D41"/>
    <w:rsid w:val="00332B5B"/>
    <w:rsid w:val="003439A4"/>
    <w:rsid w:val="003607FC"/>
    <w:rsid w:val="00380962"/>
    <w:rsid w:val="00387AD2"/>
    <w:rsid w:val="003A0CEE"/>
    <w:rsid w:val="003A4281"/>
    <w:rsid w:val="003C3344"/>
    <w:rsid w:val="003D5F52"/>
    <w:rsid w:val="003E4E2A"/>
    <w:rsid w:val="003F245A"/>
    <w:rsid w:val="003F5731"/>
    <w:rsid w:val="00413E0D"/>
    <w:rsid w:val="00421C18"/>
    <w:rsid w:val="004252D5"/>
    <w:rsid w:val="00426E16"/>
    <w:rsid w:val="00435140"/>
    <w:rsid w:val="00436208"/>
    <w:rsid w:val="00467920"/>
    <w:rsid w:val="00467A1F"/>
    <w:rsid w:val="00472765"/>
    <w:rsid w:val="004737B5"/>
    <w:rsid w:val="00473994"/>
    <w:rsid w:val="00477765"/>
    <w:rsid w:val="004843EB"/>
    <w:rsid w:val="004A683F"/>
    <w:rsid w:val="004B7256"/>
    <w:rsid w:val="004C0649"/>
    <w:rsid w:val="004C3308"/>
    <w:rsid w:val="004D2614"/>
    <w:rsid w:val="004D51E7"/>
    <w:rsid w:val="004E6B16"/>
    <w:rsid w:val="004E7E2F"/>
    <w:rsid w:val="004F0C29"/>
    <w:rsid w:val="004F24B7"/>
    <w:rsid w:val="004F320E"/>
    <w:rsid w:val="004F3E87"/>
    <w:rsid w:val="00502A71"/>
    <w:rsid w:val="00545708"/>
    <w:rsid w:val="005464FB"/>
    <w:rsid w:val="005552D4"/>
    <w:rsid w:val="00555E9E"/>
    <w:rsid w:val="00566232"/>
    <w:rsid w:val="00594211"/>
    <w:rsid w:val="005A0C45"/>
    <w:rsid w:val="005C236F"/>
    <w:rsid w:val="005D0033"/>
    <w:rsid w:val="005D409C"/>
    <w:rsid w:val="005D6E39"/>
    <w:rsid w:val="005D735B"/>
    <w:rsid w:val="005E1B13"/>
    <w:rsid w:val="005E6881"/>
    <w:rsid w:val="005F3573"/>
    <w:rsid w:val="006539E5"/>
    <w:rsid w:val="00653E57"/>
    <w:rsid w:val="006540A5"/>
    <w:rsid w:val="00674A0D"/>
    <w:rsid w:val="00692468"/>
    <w:rsid w:val="006A3987"/>
    <w:rsid w:val="006D2095"/>
    <w:rsid w:val="006D7DFB"/>
    <w:rsid w:val="006E546D"/>
    <w:rsid w:val="006E6C0B"/>
    <w:rsid w:val="006F0C57"/>
    <w:rsid w:val="00731B77"/>
    <w:rsid w:val="00747680"/>
    <w:rsid w:val="0075131B"/>
    <w:rsid w:val="00754783"/>
    <w:rsid w:val="0075601C"/>
    <w:rsid w:val="00761C63"/>
    <w:rsid w:val="0076273F"/>
    <w:rsid w:val="00764FEE"/>
    <w:rsid w:val="0077049E"/>
    <w:rsid w:val="007A0E8D"/>
    <w:rsid w:val="007A4185"/>
    <w:rsid w:val="007D4833"/>
    <w:rsid w:val="007D5F62"/>
    <w:rsid w:val="007F0572"/>
    <w:rsid w:val="007F0DDC"/>
    <w:rsid w:val="00834D50"/>
    <w:rsid w:val="008433A8"/>
    <w:rsid w:val="0089120E"/>
    <w:rsid w:val="008A717C"/>
    <w:rsid w:val="008B07AA"/>
    <w:rsid w:val="008B1C66"/>
    <w:rsid w:val="008D04DE"/>
    <w:rsid w:val="008D084C"/>
    <w:rsid w:val="0091001E"/>
    <w:rsid w:val="00912FFC"/>
    <w:rsid w:val="009178EE"/>
    <w:rsid w:val="00921263"/>
    <w:rsid w:val="00930FFD"/>
    <w:rsid w:val="0093470C"/>
    <w:rsid w:val="00944060"/>
    <w:rsid w:val="009529EC"/>
    <w:rsid w:val="00962156"/>
    <w:rsid w:val="009621B7"/>
    <w:rsid w:val="009754A0"/>
    <w:rsid w:val="00981662"/>
    <w:rsid w:val="00995E61"/>
    <w:rsid w:val="00997C31"/>
    <w:rsid w:val="009B0C34"/>
    <w:rsid w:val="009B43F0"/>
    <w:rsid w:val="009D59BB"/>
    <w:rsid w:val="009D79E1"/>
    <w:rsid w:val="009E5FCA"/>
    <w:rsid w:val="009F5AEE"/>
    <w:rsid w:val="00A2080C"/>
    <w:rsid w:val="00A346BE"/>
    <w:rsid w:val="00A55355"/>
    <w:rsid w:val="00A557F6"/>
    <w:rsid w:val="00A57095"/>
    <w:rsid w:val="00A643C5"/>
    <w:rsid w:val="00A920FF"/>
    <w:rsid w:val="00A94301"/>
    <w:rsid w:val="00A969C7"/>
    <w:rsid w:val="00AA0DBE"/>
    <w:rsid w:val="00AA7B06"/>
    <w:rsid w:val="00AB58F2"/>
    <w:rsid w:val="00AD4094"/>
    <w:rsid w:val="00AD7126"/>
    <w:rsid w:val="00AF6C4C"/>
    <w:rsid w:val="00B11FD6"/>
    <w:rsid w:val="00B13AA6"/>
    <w:rsid w:val="00B41A40"/>
    <w:rsid w:val="00B7307E"/>
    <w:rsid w:val="00BB3535"/>
    <w:rsid w:val="00BB71B5"/>
    <w:rsid w:val="00BD00F7"/>
    <w:rsid w:val="00BE00D7"/>
    <w:rsid w:val="00BF2682"/>
    <w:rsid w:val="00BF485F"/>
    <w:rsid w:val="00C00CB1"/>
    <w:rsid w:val="00C01C15"/>
    <w:rsid w:val="00C01CCC"/>
    <w:rsid w:val="00C02562"/>
    <w:rsid w:val="00C36210"/>
    <w:rsid w:val="00C75FB3"/>
    <w:rsid w:val="00C937DF"/>
    <w:rsid w:val="00CB0668"/>
    <w:rsid w:val="00CC1F20"/>
    <w:rsid w:val="00CD0AB7"/>
    <w:rsid w:val="00CE098C"/>
    <w:rsid w:val="00CE6812"/>
    <w:rsid w:val="00D0114D"/>
    <w:rsid w:val="00D12F2F"/>
    <w:rsid w:val="00D30BB2"/>
    <w:rsid w:val="00D5400E"/>
    <w:rsid w:val="00D61408"/>
    <w:rsid w:val="00D937B2"/>
    <w:rsid w:val="00D93B51"/>
    <w:rsid w:val="00D9772E"/>
    <w:rsid w:val="00DA3FA6"/>
    <w:rsid w:val="00DB0BA7"/>
    <w:rsid w:val="00DB1421"/>
    <w:rsid w:val="00DB3496"/>
    <w:rsid w:val="00DB4A75"/>
    <w:rsid w:val="00DF0BBC"/>
    <w:rsid w:val="00DF295F"/>
    <w:rsid w:val="00E11B3A"/>
    <w:rsid w:val="00E1203C"/>
    <w:rsid w:val="00E81B73"/>
    <w:rsid w:val="00E971C9"/>
    <w:rsid w:val="00EA267B"/>
    <w:rsid w:val="00EA4F70"/>
    <w:rsid w:val="00EA78ED"/>
    <w:rsid w:val="00EB0FFB"/>
    <w:rsid w:val="00EB2918"/>
    <w:rsid w:val="00EB49CB"/>
    <w:rsid w:val="00ED5ED9"/>
    <w:rsid w:val="00EE3A31"/>
    <w:rsid w:val="00EF722D"/>
    <w:rsid w:val="00F03091"/>
    <w:rsid w:val="00F1410A"/>
    <w:rsid w:val="00F177AF"/>
    <w:rsid w:val="00F44C02"/>
    <w:rsid w:val="00F605B5"/>
    <w:rsid w:val="00F67630"/>
    <w:rsid w:val="00F75096"/>
    <w:rsid w:val="00FA0A12"/>
    <w:rsid w:val="00FB088C"/>
    <w:rsid w:val="00FC4790"/>
    <w:rsid w:val="00FC57D1"/>
    <w:rsid w:val="00FE1F8F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9DB9D6-3849-446B-95A2-DBB0EE8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34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C57"/>
  </w:style>
  <w:style w:type="paragraph" w:styleId="Piedepgina">
    <w:name w:val="footer"/>
    <w:basedOn w:val="Normal"/>
    <w:link w:val="PiedepginaCar"/>
    <w:uiPriority w:val="99"/>
    <w:unhideWhenUsed/>
    <w:rsid w:val="006F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C57"/>
  </w:style>
  <w:style w:type="paragraph" w:styleId="Textodeglobo">
    <w:name w:val="Balloon Text"/>
    <w:basedOn w:val="Normal"/>
    <w:link w:val="TextodegloboCar"/>
    <w:uiPriority w:val="99"/>
    <w:semiHidden/>
    <w:unhideWhenUsed/>
    <w:rsid w:val="0091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8EE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178EE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78EE"/>
    <w:rPr>
      <w:rFonts w:eastAsiaTheme="minorEastAsia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B0668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CB0668"/>
    <w:pPr>
      <w:outlineLvl w:val="9"/>
    </w:pPr>
    <w:rPr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CB0668"/>
    <w:pPr>
      <w:spacing w:after="100"/>
      <w:ind w:left="220"/>
    </w:pPr>
    <w:rPr>
      <w:rFonts w:eastAsiaTheme="minorEastAsia" w:cs="Times New Roman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B0668"/>
    <w:pPr>
      <w:spacing w:after="100"/>
    </w:pPr>
    <w:rPr>
      <w:rFonts w:eastAsiaTheme="minorEastAsia" w:cs="Times New Roman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CB0668"/>
    <w:pPr>
      <w:spacing w:after="100"/>
      <w:ind w:left="440"/>
    </w:pPr>
    <w:rPr>
      <w:rFonts w:eastAsiaTheme="minorEastAsia" w:cs="Times New Roman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ysClr val="windowText" lastClr="000000"/>
                </a:solidFill>
              </a:rPr>
              <a:t>Porcentaje de resistencia a meticilina en </a:t>
            </a:r>
            <a:r>
              <a:rPr lang="es-ES" i="1">
                <a:solidFill>
                  <a:sysClr val="windowText" lastClr="000000"/>
                </a:solidFill>
              </a:rPr>
              <a:t>Staphylococcus</a:t>
            </a:r>
            <a:r>
              <a:rPr lang="es-ES" baseline="0">
                <a:solidFill>
                  <a:sysClr val="windowText" lastClr="000000"/>
                </a:solidFill>
              </a:rPr>
              <a:t> </a:t>
            </a:r>
            <a:r>
              <a:rPr lang="es-ES" i="1" baseline="0">
                <a:solidFill>
                  <a:sysClr val="windowText" lastClr="000000"/>
                </a:solidFill>
              </a:rPr>
              <a:t>aureus </a:t>
            </a:r>
            <a:r>
              <a:rPr lang="es-ES" i="0" baseline="0">
                <a:solidFill>
                  <a:sysClr val="windowText" lastClr="000000"/>
                </a:solidFill>
              </a:rPr>
              <a:t>(Enero-Abril)</a:t>
            </a:r>
            <a:endParaRPr lang="es-ES" i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5817777866825172"/>
          <c:y val="2.54388196387687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219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-1760737328"/>
        <c:axId val="-1760743856"/>
      </c:lineChart>
      <c:catAx>
        <c:axId val="-1760737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>
                    <a:solidFill>
                      <a:sysClr val="windowText" lastClr="000000"/>
                    </a:solidFill>
                  </a:rPr>
                  <a:t>Año evaluado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760743856"/>
        <c:crosses val="autoZero"/>
        <c:auto val="1"/>
        <c:lblAlgn val="ctr"/>
        <c:lblOffset val="100"/>
        <c:noMultiLvlLbl val="0"/>
      </c:catAx>
      <c:valAx>
        <c:axId val="-176074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>
                    <a:solidFill>
                      <a:sysClr val="windowText" lastClr="000000"/>
                    </a:solidFill>
                  </a:rPr>
                  <a:t>% de resistencia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76073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Resistencia</a:t>
            </a:r>
            <a:r>
              <a:rPr lang="es-MX" b="1" baseline="0"/>
              <a:t> de </a:t>
            </a:r>
            <a:r>
              <a:rPr lang="es-MX" b="1" i="1" baseline="0"/>
              <a:t>Enterococcus</a:t>
            </a:r>
            <a:r>
              <a:rPr lang="es-MX" b="1" baseline="0"/>
              <a:t> spp. a Vancomicina (Enero-Abril)</a:t>
            </a:r>
            <a:endParaRPr lang="es-MX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E. faecalis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E. Faecium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Hoja1!$C$2:$C$3</c:f>
              <c:numCache>
                <c:formatCode>General</c:formatCode>
                <c:ptCount val="2"/>
                <c:pt idx="0">
                  <c:v>0</c:v>
                </c:pt>
                <c:pt idx="1">
                  <c:v>12.5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13800752"/>
        <c:axId val="-1813800208"/>
      </c:lineChart>
      <c:catAx>
        <c:axId val="-1813800752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813800208"/>
        <c:crosses val="autoZero"/>
        <c:auto val="1"/>
        <c:lblAlgn val="ctr"/>
        <c:lblOffset val="100"/>
        <c:noMultiLvlLbl val="0"/>
      </c:catAx>
      <c:valAx>
        <c:axId val="-181380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1200"/>
                  <a:t>% de resistencia</a:t>
                </a:r>
              </a:p>
            </c:rich>
          </c:tx>
          <c:layout>
            <c:manualLayout>
              <c:xMode val="edge"/>
              <c:yMode val="edge"/>
              <c:x val="2.0455602045560205E-2"/>
              <c:y val="0.219523735029810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81380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Porcentaje de resistencia a carbapenémicos en</a:t>
            </a:r>
          </a:p>
          <a:p>
            <a:pPr>
              <a:defRPr/>
            </a:pPr>
            <a:r>
              <a:rPr lang="es-MX" b="1"/>
              <a:t> </a:t>
            </a:r>
            <a:r>
              <a:rPr lang="es-MX" b="1" i="1"/>
              <a:t>P. aeruginosa </a:t>
            </a:r>
            <a:r>
              <a:rPr lang="es-MX" b="1" i="0"/>
              <a:t>(Enero-Abril)</a:t>
            </a:r>
            <a:endParaRPr lang="es-MX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Meropenem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22</c:v>
                </c:pt>
                <c:pt idx="1">
                  <c:v>30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Imipenem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Hoja1!$C$2:$C$3</c:f>
              <c:numCache>
                <c:formatCode>General</c:formatCode>
                <c:ptCount val="2"/>
                <c:pt idx="0">
                  <c:v>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54450864"/>
        <c:axId val="-1754450320"/>
      </c:lineChart>
      <c:catAx>
        <c:axId val="-1754450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1400"/>
                  <a:t>Año evaluado</a:t>
                </a:r>
              </a:p>
            </c:rich>
          </c:tx>
          <c:layout>
            <c:manualLayout>
              <c:xMode val="edge"/>
              <c:yMode val="edge"/>
              <c:x val="0.43263940431830222"/>
              <c:y val="0.821026213050753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754450320"/>
        <c:crosses val="autoZero"/>
        <c:auto val="1"/>
        <c:lblAlgn val="ctr"/>
        <c:lblOffset val="100"/>
        <c:noMultiLvlLbl val="0"/>
      </c:catAx>
      <c:valAx>
        <c:axId val="-175445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1050"/>
                  <a:t>% de resistencia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754450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Resistencia</a:t>
            </a:r>
            <a:r>
              <a:rPr lang="es-MX" b="1" baseline="0"/>
              <a:t> a </a:t>
            </a:r>
            <a:r>
              <a:rPr lang="es-MX" b="1" i="1" baseline="0"/>
              <a:t>Klebsiell</a:t>
            </a:r>
            <a:r>
              <a:rPr lang="es-MX" b="1" baseline="0"/>
              <a:t>a spp a </a:t>
            </a:r>
          </a:p>
          <a:p>
            <a:pPr>
              <a:defRPr/>
            </a:pPr>
            <a:r>
              <a:rPr lang="es-MX" b="1" baseline="0"/>
              <a:t>carbapenémicos (Enero- Abril)</a:t>
            </a:r>
            <a:endParaRPr lang="es-MX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K. pneumoniae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3.5</c:v>
                </c:pt>
                <c:pt idx="1">
                  <c:v>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K. oxytoca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00844016"/>
        <c:axId val="-1814962432"/>
      </c:lineChart>
      <c:catAx>
        <c:axId val="-1900844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Año evaluado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814962432"/>
        <c:crosses val="autoZero"/>
        <c:auto val="1"/>
        <c:lblAlgn val="ctr"/>
        <c:lblOffset val="100"/>
        <c:noMultiLvlLbl val="0"/>
      </c:catAx>
      <c:valAx>
        <c:axId val="-181496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1200">
                    <a:solidFill>
                      <a:schemeClr val="tx2"/>
                    </a:solidFill>
                  </a:rPr>
                  <a:t>% de resistencia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90084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 baseline="0"/>
              <a:t>Porcentaje de E. coli portadoras de carbapenemasas y BLEE (Enero-Abril)</a:t>
            </a:r>
            <a:endParaRPr lang="es-MX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Carbapenémicos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BLEE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Hoja1!$C$2:$C$3</c:f>
              <c:numCache>
                <c:formatCode>General</c:formatCode>
                <c:ptCount val="2"/>
                <c:pt idx="0">
                  <c:v>43</c:v>
                </c:pt>
                <c:pt idx="1">
                  <c:v>45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644871440"/>
        <c:axId val="-1644863824"/>
      </c:lineChart>
      <c:catAx>
        <c:axId val="-1644871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1100" b="1"/>
                  <a:t>Años evaluados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44863824"/>
        <c:crosses val="autoZero"/>
        <c:auto val="1"/>
        <c:lblAlgn val="ctr"/>
        <c:lblOffset val="100"/>
        <c:noMultiLvlLbl val="0"/>
      </c:catAx>
      <c:valAx>
        <c:axId val="-164486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1200" b="1">
                    <a:solidFill>
                      <a:schemeClr val="tx2"/>
                    </a:solidFill>
                  </a:rPr>
                  <a:t>% resistencia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4487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600" b="1"/>
              <a:t>Resistencia </a:t>
            </a:r>
            <a:r>
              <a:rPr lang="es-MX" sz="1600" b="1" baseline="0"/>
              <a:t>en </a:t>
            </a:r>
            <a:r>
              <a:rPr lang="es-MX" sz="1600" b="1" i="1" baseline="0"/>
              <a:t>Acinetobacter baumannii</a:t>
            </a:r>
            <a:endParaRPr lang="es-MX" sz="1600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1302818456104202"/>
          <c:y val="0.15446872511722551"/>
          <c:w val="0.74500372032935125"/>
          <c:h val="0.58575216019345899"/>
        </c:manualLayout>
      </c:layout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Amp/sulb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10</c:v>
                </c:pt>
                <c:pt idx="1">
                  <c:v>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Carbapenemicos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Hoja1!$C$2:$C$3</c:f>
              <c:numCache>
                <c:formatCode>General</c:formatCode>
                <c:ptCount val="2"/>
                <c:pt idx="0">
                  <c:v>10</c:v>
                </c:pt>
                <c:pt idx="1">
                  <c:v>24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Colistina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AMG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Hoja1!$E$2:$E$3</c:f>
              <c:numCache>
                <c:formatCode>General</c:formatCode>
                <c:ptCount val="2"/>
                <c:pt idx="0">
                  <c:v>0</c:v>
                </c:pt>
                <c:pt idx="1">
                  <c:v>9.5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644870352"/>
        <c:axId val="-1644870896"/>
      </c:lineChart>
      <c:catAx>
        <c:axId val="-1644870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b="1"/>
                  <a:t>Año evaluado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44870896"/>
        <c:crosses val="autoZero"/>
        <c:auto val="1"/>
        <c:lblAlgn val="ctr"/>
        <c:lblOffset val="100"/>
        <c:noMultiLvlLbl val="0"/>
      </c:catAx>
      <c:valAx>
        <c:axId val="-164487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b="1"/>
                  <a:t>%</a:t>
                </a:r>
                <a:r>
                  <a:rPr lang="es-MX" b="1" baseline="0"/>
                  <a:t> de resistencia</a:t>
                </a:r>
                <a:endParaRPr lang="es-MX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4487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612541675533804"/>
          <c:y val="0.89911987049523012"/>
          <c:w val="0.71104670172212836"/>
          <c:h val="8.5812957590827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800">
                <a:effectLst/>
              </a:rPr>
              <a:t>Porcentaje de susceptibilidad para </a:t>
            </a:r>
            <a:endParaRPr lang="es-MX" sz="1800">
              <a:effectLst/>
            </a:endParaRPr>
          </a:p>
          <a:p>
            <a:pPr>
              <a:defRPr/>
            </a:pPr>
            <a:r>
              <a:rPr lang="es-ES" sz="1800">
                <a:effectLst/>
              </a:rPr>
              <a:t> </a:t>
            </a:r>
            <a:r>
              <a:rPr lang="es-ES" sz="1800" i="1">
                <a:effectLst/>
              </a:rPr>
              <a:t>Stenotrophomonas maltophilia </a:t>
            </a:r>
            <a:r>
              <a:rPr lang="es-ES" sz="1800" i="0">
                <a:effectLst/>
              </a:rPr>
              <a:t>(ENERO-ABRIL)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4891672296237232"/>
          <c:y val="0.31307603472642848"/>
          <c:w val="0.72479307175210694"/>
          <c:h val="0.45044054108621046"/>
        </c:manualLayout>
      </c:layout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TMP/SMX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Hoja1!$B$2:$B$3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644873616"/>
        <c:axId val="-1644866000"/>
      </c:lineChart>
      <c:catAx>
        <c:axId val="-164487361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44866000"/>
        <c:crosses val="autoZero"/>
        <c:auto val="1"/>
        <c:lblAlgn val="ctr"/>
        <c:lblOffset val="100"/>
        <c:noMultiLvlLbl val="0"/>
      </c:catAx>
      <c:valAx>
        <c:axId val="-164486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% de resistencia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4487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380004F-9598-4920-911E-D431B28B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Interpretación Sensibilidad/Resistencia (grupo ESKAPE)</dc:subject>
  <dc:creator>Hies</dc:creator>
  <cp:keywords/>
  <dc:description/>
  <cp:lastModifiedBy>USUARIO</cp:lastModifiedBy>
  <cp:revision>73</cp:revision>
  <cp:lastPrinted>2025-03-25T19:58:00Z</cp:lastPrinted>
  <dcterms:created xsi:type="dcterms:W3CDTF">2025-03-25T19:59:00Z</dcterms:created>
  <dcterms:modified xsi:type="dcterms:W3CDTF">2025-05-20T17:06:00Z</dcterms:modified>
  <cp:category>Miembro de la Vigilancia de Resistencias del SCA</cp:category>
</cp:coreProperties>
</file>